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6298" w14:textId="28F9F33A" w:rsidR="00677747" w:rsidRPr="002B6139" w:rsidRDefault="001229B6" w:rsidP="001229B6">
      <w:pPr>
        <w:pStyle w:val="Title"/>
      </w:pPr>
      <w:r w:rsidRPr="002B6139">
        <w:t>Torts Winter Roadmap</w:t>
      </w:r>
    </w:p>
    <w:p w14:paraId="5F716C0C" w14:textId="525B793B" w:rsidR="001229B6" w:rsidRPr="002B6139" w:rsidRDefault="001229B6" w:rsidP="001229B6">
      <w:pPr>
        <w:pStyle w:val="Heading1"/>
      </w:pPr>
      <w:r w:rsidRPr="002B6139">
        <w:t xml:space="preserve">One: </w:t>
      </w:r>
      <w:r w:rsidR="004F3AC4" w:rsidRPr="002B6139">
        <w:t xml:space="preserve">Determining the Applicable </w:t>
      </w:r>
      <w:r w:rsidRPr="002B6139">
        <w:t>Standard of Care</w:t>
      </w:r>
    </w:p>
    <w:p w14:paraId="0F53E154" w14:textId="71D378EA" w:rsidR="000D760B" w:rsidRPr="002B6139" w:rsidRDefault="000D760B" w:rsidP="000D760B">
      <w:pPr>
        <w:pStyle w:val="Heading2"/>
      </w:pPr>
      <w:r w:rsidRPr="002B6139">
        <w:t>What is the standard of care expected of a reasonable person?</w:t>
      </w:r>
    </w:p>
    <w:p w14:paraId="726E798C" w14:textId="77777777" w:rsidR="00285959" w:rsidRPr="002B6139" w:rsidRDefault="00285959" w:rsidP="00ED6D76">
      <w:pPr>
        <w:pStyle w:val="ListParagraph"/>
        <w:numPr>
          <w:ilvl w:val="0"/>
          <w:numId w:val="1"/>
        </w:numPr>
        <w:rPr>
          <w:sz w:val="24"/>
          <w:szCs w:val="24"/>
        </w:rPr>
      </w:pPr>
      <w:r w:rsidRPr="002B6139">
        <w:rPr>
          <w:b/>
          <w:bCs/>
          <w:sz w:val="24"/>
          <w:szCs w:val="24"/>
        </w:rPr>
        <w:t>Reasonable person standard</w:t>
      </w:r>
      <w:r w:rsidRPr="002B6139">
        <w:rPr>
          <w:sz w:val="24"/>
          <w:szCs w:val="24"/>
        </w:rPr>
        <w:t>: A person must exercise “such reasonable caution as a prudent man would have exercised under such circumstances." (Vaughan v Menlove 1837 UK)</w:t>
      </w:r>
    </w:p>
    <w:p w14:paraId="3CB0ECE5" w14:textId="7B9638CD" w:rsidR="00285959" w:rsidRPr="002B6139" w:rsidRDefault="00285959" w:rsidP="00ED6D76">
      <w:pPr>
        <w:pStyle w:val="ListParagraph"/>
        <w:numPr>
          <w:ilvl w:val="0"/>
          <w:numId w:val="1"/>
        </w:numPr>
        <w:rPr>
          <w:sz w:val="24"/>
          <w:szCs w:val="24"/>
        </w:rPr>
      </w:pPr>
      <w:r w:rsidRPr="002B6139">
        <w:rPr>
          <w:b/>
          <w:bCs/>
          <w:sz w:val="24"/>
          <w:szCs w:val="24"/>
        </w:rPr>
        <w:t>Clarification of the reasonable person standard</w:t>
      </w:r>
      <w:r w:rsidRPr="002B6139">
        <w:rPr>
          <w:sz w:val="24"/>
          <w:szCs w:val="24"/>
        </w:rPr>
        <w:t>: “He is not an extraordinary or unusual creature; he is not superhuman; he is not required to display the highest skill of which anyone is capable; he is not a genius who can perform uncommon feats, nor is he possessed of unusual powers of foresight. He is a person of normal intelligence who makes prudence a guide to his conduct. He does nothing that a prudent man would not do and does not omit to do anything a prudent man would do.” (Arland v Taylor 1955 ONCA)</w:t>
      </w:r>
    </w:p>
    <w:p w14:paraId="5E9C8EE6" w14:textId="77777777" w:rsidR="004F3AC4" w:rsidRPr="002B6139" w:rsidRDefault="004F3AC4" w:rsidP="004F3AC4">
      <w:pPr>
        <w:pStyle w:val="Heading2"/>
      </w:pPr>
      <w:r w:rsidRPr="002B6139">
        <w:t>Does the defendant fall under a different standard of care?</w:t>
      </w:r>
    </w:p>
    <w:p w14:paraId="3722F615" w14:textId="77777777" w:rsidR="004F3AC4" w:rsidRPr="002B6139" w:rsidRDefault="004F3AC4" w:rsidP="004F3AC4">
      <w:pPr>
        <w:pStyle w:val="ListParagraph"/>
        <w:numPr>
          <w:ilvl w:val="0"/>
          <w:numId w:val="3"/>
        </w:numPr>
        <w:rPr>
          <w:b/>
          <w:bCs/>
          <w:sz w:val="24"/>
          <w:szCs w:val="24"/>
        </w:rPr>
      </w:pPr>
      <w:r w:rsidRPr="002B6139">
        <w:rPr>
          <w:b/>
          <w:bCs/>
          <w:sz w:val="24"/>
          <w:szCs w:val="24"/>
        </w:rPr>
        <w:t>Age</w:t>
      </w:r>
    </w:p>
    <w:p w14:paraId="53474604" w14:textId="77777777" w:rsidR="004F3AC4" w:rsidRPr="002B6139" w:rsidRDefault="004F3AC4" w:rsidP="004F3AC4">
      <w:pPr>
        <w:pStyle w:val="ListParagraph"/>
        <w:numPr>
          <w:ilvl w:val="1"/>
          <w:numId w:val="3"/>
        </w:numPr>
        <w:rPr>
          <w:sz w:val="24"/>
          <w:szCs w:val="24"/>
        </w:rPr>
      </w:pPr>
      <w:r w:rsidRPr="002B6139">
        <w:rPr>
          <w:b/>
          <w:bCs/>
          <w:sz w:val="24"/>
          <w:szCs w:val="24"/>
        </w:rPr>
        <w:t>Infants are not under any standard of care</w:t>
      </w:r>
      <w:r w:rsidRPr="002B6139">
        <w:rPr>
          <w:sz w:val="24"/>
          <w:szCs w:val="24"/>
        </w:rPr>
        <w:t>; they are incapable of negligence. (McHale v Watson 1966 Aus. HC, affirmed in Canada by R v Hill 1986 SCC)</w:t>
      </w:r>
    </w:p>
    <w:p w14:paraId="7055DEBE" w14:textId="77777777" w:rsidR="004F3AC4" w:rsidRPr="002B6139" w:rsidRDefault="004F3AC4" w:rsidP="004F3AC4">
      <w:pPr>
        <w:pStyle w:val="ListParagraph"/>
        <w:numPr>
          <w:ilvl w:val="1"/>
          <w:numId w:val="3"/>
        </w:numPr>
        <w:rPr>
          <w:sz w:val="24"/>
          <w:szCs w:val="24"/>
        </w:rPr>
      </w:pPr>
      <w:r w:rsidRPr="002B6139">
        <w:rPr>
          <w:b/>
          <w:bCs/>
          <w:sz w:val="24"/>
          <w:szCs w:val="24"/>
        </w:rPr>
        <w:t>Children are held to the standard of what a reasonable child of their age, intelligence, and experience would do.</w:t>
      </w:r>
      <w:r w:rsidRPr="002B6139">
        <w:rPr>
          <w:sz w:val="24"/>
          <w:szCs w:val="24"/>
        </w:rPr>
        <w:t xml:space="preserve"> (McHale and Hill)</w:t>
      </w:r>
    </w:p>
    <w:p w14:paraId="294F1051" w14:textId="77777777" w:rsidR="004F3AC4" w:rsidRPr="002B6139" w:rsidRDefault="004F3AC4" w:rsidP="004F3AC4">
      <w:pPr>
        <w:pStyle w:val="ListParagraph"/>
        <w:numPr>
          <w:ilvl w:val="2"/>
          <w:numId w:val="3"/>
        </w:numPr>
        <w:rPr>
          <w:sz w:val="24"/>
          <w:szCs w:val="24"/>
        </w:rPr>
      </w:pPr>
      <w:r w:rsidRPr="002B6139">
        <w:rPr>
          <w:b/>
          <w:bCs/>
          <w:sz w:val="24"/>
          <w:szCs w:val="24"/>
        </w:rPr>
        <w:t>Exception:</w:t>
      </w:r>
      <w:r w:rsidRPr="002B6139">
        <w:rPr>
          <w:sz w:val="24"/>
          <w:szCs w:val="24"/>
        </w:rPr>
        <w:t xml:space="preserve"> When a child engages in an adult activity, they fall under the adult standard of care. (McErlean v Sarel 1987 ONCA)</w:t>
      </w:r>
    </w:p>
    <w:p w14:paraId="5931BF7A" w14:textId="77777777" w:rsidR="004F3AC4" w:rsidRPr="002B6139" w:rsidRDefault="004F3AC4" w:rsidP="004F3AC4">
      <w:pPr>
        <w:pStyle w:val="ListParagraph"/>
        <w:numPr>
          <w:ilvl w:val="3"/>
          <w:numId w:val="3"/>
        </w:numPr>
        <w:rPr>
          <w:sz w:val="24"/>
          <w:szCs w:val="24"/>
        </w:rPr>
      </w:pPr>
      <w:r w:rsidRPr="002B6139">
        <w:rPr>
          <w:sz w:val="24"/>
          <w:szCs w:val="24"/>
        </w:rPr>
        <w:t>An adult activity is one with an apparent risk of potential harm reasonably foreseeable by the parents or guardians who permit the children in their care to engage in that activity.</w:t>
      </w:r>
    </w:p>
    <w:p w14:paraId="648B932B" w14:textId="77777777" w:rsidR="004F3AC4" w:rsidRPr="002B6139" w:rsidRDefault="004F3AC4" w:rsidP="004F3AC4">
      <w:pPr>
        <w:pStyle w:val="ListParagraph"/>
        <w:numPr>
          <w:ilvl w:val="4"/>
          <w:numId w:val="3"/>
        </w:numPr>
        <w:rPr>
          <w:sz w:val="24"/>
          <w:szCs w:val="24"/>
        </w:rPr>
      </w:pPr>
      <w:r w:rsidRPr="002B6139">
        <w:rPr>
          <w:sz w:val="24"/>
          <w:szCs w:val="24"/>
        </w:rPr>
        <w:t>Determinative question: does the apparent risk of harm exist regardless of the child’s age?</w:t>
      </w:r>
    </w:p>
    <w:p w14:paraId="5999CF62" w14:textId="77777777" w:rsidR="004F3AC4" w:rsidRPr="002B6139" w:rsidRDefault="004F3AC4" w:rsidP="004F3AC4">
      <w:pPr>
        <w:pStyle w:val="ListParagraph"/>
        <w:numPr>
          <w:ilvl w:val="3"/>
          <w:numId w:val="3"/>
        </w:numPr>
        <w:rPr>
          <w:sz w:val="24"/>
          <w:szCs w:val="24"/>
        </w:rPr>
      </w:pPr>
      <w:r w:rsidRPr="002B6139">
        <w:rPr>
          <w:sz w:val="24"/>
          <w:szCs w:val="24"/>
        </w:rPr>
        <w:t>E.g., operation of a motor vehicle, use of firearms, etc.</w:t>
      </w:r>
    </w:p>
    <w:p w14:paraId="7CB5B89E" w14:textId="77777777" w:rsidR="004F3AC4" w:rsidRPr="002B6139" w:rsidRDefault="004F3AC4" w:rsidP="004F3AC4">
      <w:pPr>
        <w:pStyle w:val="ListParagraph"/>
        <w:numPr>
          <w:ilvl w:val="2"/>
          <w:numId w:val="3"/>
        </w:numPr>
        <w:rPr>
          <w:sz w:val="24"/>
          <w:szCs w:val="24"/>
        </w:rPr>
      </w:pPr>
      <w:r w:rsidRPr="002B6139">
        <w:rPr>
          <w:b/>
          <w:bCs/>
          <w:sz w:val="24"/>
          <w:szCs w:val="24"/>
        </w:rPr>
        <w:t>Young adults are held to the adult standard of care.</w:t>
      </w:r>
      <w:r w:rsidRPr="002B6139">
        <w:rPr>
          <w:sz w:val="24"/>
          <w:szCs w:val="24"/>
        </w:rPr>
        <w:t xml:space="preserve"> (McHale and Hill)</w:t>
      </w:r>
    </w:p>
    <w:p w14:paraId="62787351" w14:textId="77777777" w:rsidR="004F3AC4" w:rsidRPr="002B6139" w:rsidRDefault="004F3AC4" w:rsidP="004F3AC4">
      <w:pPr>
        <w:pStyle w:val="ListParagraph"/>
        <w:numPr>
          <w:ilvl w:val="3"/>
          <w:numId w:val="3"/>
        </w:numPr>
        <w:rPr>
          <w:sz w:val="24"/>
          <w:szCs w:val="24"/>
        </w:rPr>
      </w:pPr>
      <w:r w:rsidRPr="002B6139">
        <w:rPr>
          <w:sz w:val="24"/>
          <w:szCs w:val="24"/>
        </w:rPr>
        <w:t>Note: age of majority in McHale was 21, and young adult was 15.</w:t>
      </w:r>
    </w:p>
    <w:p w14:paraId="41ECD63F" w14:textId="77777777" w:rsidR="004F3AC4" w:rsidRPr="002B6139" w:rsidRDefault="004F3AC4" w:rsidP="004F3AC4">
      <w:pPr>
        <w:pStyle w:val="ListParagraph"/>
        <w:numPr>
          <w:ilvl w:val="0"/>
          <w:numId w:val="3"/>
        </w:numPr>
        <w:rPr>
          <w:b/>
          <w:bCs/>
          <w:sz w:val="24"/>
          <w:szCs w:val="24"/>
        </w:rPr>
      </w:pPr>
      <w:r w:rsidRPr="002B6139">
        <w:rPr>
          <w:b/>
          <w:bCs/>
          <w:sz w:val="24"/>
          <w:szCs w:val="24"/>
        </w:rPr>
        <w:t>Professionalism</w:t>
      </w:r>
    </w:p>
    <w:p w14:paraId="35E41756" w14:textId="77777777" w:rsidR="004F3AC4" w:rsidRPr="002B6139" w:rsidRDefault="004F3AC4" w:rsidP="004F3AC4">
      <w:pPr>
        <w:pStyle w:val="ListParagraph"/>
        <w:numPr>
          <w:ilvl w:val="1"/>
          <w:numId w:val="3"/>
        </w:numPr>
        <w:rPr>
          <w:sz w:val="24"/>
          <w:szCs w:val="24"/>
        </w:rPr>
      </w:pPr>
      <w:r w:rsidRPr="002B6139">
        <w:rPr>
          <w:sz w:val="24"/>
          <w:szCs w:val="24"/>
        </w:rPr>
        <w:lastRenderedPageBreak/>
        <w:t>A professional or someone representing themselves as a member of that profession is held to the standard of a reasonable practitioner of that profession when acting as a member of that profession.</w:t>
      </w:r>
    </w:p>
    <w:p w14:paraId="0A602007" w14:textId="77777777" w:rsidR="004F3AC4" w:rsidRPr="002B6139" w:rsidRDefault="004F3AC4" w:rsidP="004F3AC4">
      <w:pPr>
        <w:pStyle w:val="ListParagraph"/>
        <w:numPr>
          <w:ilvl w:val="2"/>
          <w:numId w:val="3"/>
        </w:numPr>
        <w:rPr>
          <w:sz w:val="24"/>
          <w:szCs w:val="24"/>
        </w:rPr>
      </w:pPr>
      <w:r w:rsidRPr="002B6139">
        <w:rPr>
          <w:sz w:val="24"/>
          <w:szCs w:val="24"/>
        </w:rPr>
        <w:t>I.e., reasonable doctor, reasonable lawyer, etc.</w:t>
      </w:r>
    </w:p>
    <w:p w14:paraId="51C7DA13" w14:textId="09B8A510" w:rsidR="004F3AC4" w:rsidRPr="002B6139" w:rsidRDefault="004F3AC4" w:rsidP="004F3AC4">
      <w:pPr>
        <w:pStyle w:val="ListParagraph"/>
        <w:numPr>
          <w:ilvl w:val="2"/>
          <w:numId w:val="3"/>
        </w:numPr>
        <w:rPr>
          <w:sz w:val="24"/>
          <w:szCs w:val="24"/>
        </w:rPr>
      </w:pPr>
      <w:r w:rsidRPr="002B6139">
        <w:rPr>
          <w:sz w:val="24"/>
          <w:szCs w:val="24"/>
        </w:rPr>
        <w:t>Note: the standard is that of a reasonable professional acting professionally under the standards of that profession at the time of the breach. (Hill v Hamilton-Wentworth Services Board 2007 SCC)</w:t>
      </w:r>
    </w:p>
    <w:p w14:paraId="6457C84C" w14:textId="7BCBFE03" w:rsidR="000A0317" w:rsidRPr="002B6139" w:rsidRDefault="000A0317" w:rsidP="000A0317">
      <w:pPr>
        <w:pStyle w:val="Heading2"/>
      </w:pPr>
      <w:r w:rsidRPr="002B6139">
        <w:t xml:space="preserve">Is the </w:t>
      </w:r>
      <w:r w:rsidR="00DA75D2" w:rsidRPr="002B6139">
        <w:t xml:space="preserve">defendant released from the standard of care by </w:t>
      </w:r>
      <w:proofErr w:type="spellStart"/>
      <w:r w:rsidR="00DA75D2" w:rsidRPr="002B6139">
        <w:t>involuntarism</w:t>
      </w:r>
      <w:proofErr w:type="spellEnd"/>
      <w:r w:rsidR="00DA75D2" w:rsidRPr="002B6139">
        <w:t>?</w:t>
      </w:r>
    </w:p>
    <w:p w14:paraId="51C098A1" w14:textId="77777777" w:rsidR="0008126A" w:rsidRPr="002B6139" w:rsidRDefault="0008126A" w:rsidP="00ED6D76">
      <w:pPr>
        <w:pStyle w:val="NormalWeb"/>
        <w:numPr>
          <w:ilvl w:val="0"/>
          <w:numId w:val="2"/>
        </w:numPr>
        <w:spacing w:before="0" w:beforeAutospacing="0" w:after="0" w:afterAutospacing="0"/>
        <w:textAlignment w:val="baseline"/>
        <w:rPr>
          <w:rFonts w:asciiTheme="minorHAnsi" w:hAnsiTheme="minorHAnsi" w:cs="Arial"/>
          <w:color w:val="000000"/>
        </w:rPr>
      </w:pPr>
      <w:r w:rsidRPr="002B6139">
        <w:rPr>
          <w:rFonts w:asciiTheme="minorHAnsi" w:hAnsiTheme="minorHAnsi" w:cs="Arial"/>
          <w:b/>
          <w:bCs/>
          <w:color w:val="000000"/>
        </w:rPr>
        <w:t>A person is liable only for their voluntary acts.</w:t>
      </w:r>
      <w:r w:rsidRPr="002B6139">
        <w:rPr>
          <w:rFonts w:asciiTheme="minorHAnsi" w:hAnsiTheme="minorHAnsi" w:cs="Arial"/>
          <w:color w:val="000000"/>
        </w:rPr>
        <w:t xml:space="preserve"> Therefore, persons are not liable for their unconscious acts since such acts are not voluntary. (Stokes v Carson)</w:t>
      </w:r>
    </w:p>
    <w:p w14:paraId="2E831B87" w14:textId="15E1730E" w:rsidR="00285959" w:rsidRPr="002B6139" w:rsidRDefault="00DE50C0" w:rsidP="00ED6D76">
      <w:pPr>
        <w:pStyle w:val="ListParagraph"/>
        <w:numPr>
          <w:ilvl w:val="0"/>
          <w:numId w:val="2"/>
        </w:numPr>
        <w:rPr>
          <w:rFonts w:asciiTheme="minorHAnsi" w:hAnsiTheme="minorHAnsi"/>
          <w:sz w:val="24"/>
          <w:szCs w:val="24"/>
        </w:rPr>
      </w:pPr>
      <w:r w:rsidRPr="002B6139">
        <w:rPr>
          <w:rFonts w:asciiTheme="minorHAnsi" w:hAnsiTheme="minorHAnsi"/>
          <w:b/>
          <w:bCs/>
          <w:sz w:val="24"/>
          <w:szCs w:val="24"/>
        </w:rPr>
        <w:t>Test for insanity:</w:t>
      </w:r>
      <w:r w:rsidRPr="002B6139">
        <w:rPr>
          <w:rFonts w:asciiTheme="minorHAnsi" w:hAnsiTheme="minorHAnsi"/>
          <w:sz w:val="24"/>
          <w:szCs w:val="24"/>
        </w:rPr>
        <w:t xml:space="preserve"> An insanity defence frees a defendant of liability only if the insanity made the defendant unable to understand and discharge their duty of care. (Buckley v Smith 1946 ONCA)</w:t>
      </w:r>
    </w:p>
    <w:p w14:paraId="724EB991" w14:textId="4C5F4DED" w:rsidR="00DE50C0" w:rsidRPr="002B6139" w:rsidRDefault="00DE50C0" w:rsidP="00ED6D76">
      <w:pPr>
        <w:pStyle w:val="ListParagraph"/>
        <w:numPr>
          <w:ilvl w:val="1"/>
          <w:numId w:val="2"/>
        </w:numPr>
        <w:rPr>
          <w:rFonts w:asciiTheme="minorHAnsi" w:hAnsiTheme="minorHAnsi"/>
          <w:sz w:val="24"/>
          <w:szCs w:val="24"/>
        </w:rPr>
      </w:pPr>
      <w:r w:rsidRPr="002B6139">
        <w:rPr>
          <w:rFonts w:asciiTheme="minorHAnsi" w:hAnsiTheme="minorHAnsi"/>
          <w:sz w:val="24"/>
          <w:szCs w:val="24"/>
        </w:rPr>
        <w:t xml:space="preserve">Note: You are only exculpated by insanity when you essentially cease to be an </w:t>
      </w:r>
      <w:proofErr w:type="gramStart"/>
      <w:r w:rsidRPr="002B6139">
        <w:rPr>
          <w:rFonts w:asciiTheme="minorHAnsi" w:hAnsiTheme="minorHAnsi"/>
          <w:sz w:val="24"/>
          <w:szCs w:val="24"/>
        </w:rPr>
        <w:t>actor;</w:t>
      </w:r>
      <w:proofErr w:type="gramEnd"/>
      <w:r w:rsidRPr="002B6139">
        <w:rPr>
          <w:rFonts w:asciiTheme="minorHAnsi" w:hAnsiTheme="minorHAnsi"/>
          <w:sz w:val="24"/>
          <w:szCs w:val="24"/>
        </w:rPr>
        <w:t xml:space="preserve"> when you act involuntarily.</w:t>
      </w:r>
    </w:p>
    <w:p w14:paraId="63D92094" w14:textId="7512ADFE" w:rsidR="00BE1628" w:rsidRPr="002B6139" w:rsidRDefault="00BE1628" w:rsidP="00ED6D76">
      <w:pPr>
        <w:pStyle w:val="ListParagraph"/>
        <w:numPr>
          <w:ilvl w:val="1"/>
          <w:numId w:val="2"/>
        </w:numPr>
        <w:rPr>
          <w:rFonts w:asciiTheme="minorHAnsi" w:hAnsiTheme="minorHAnsi"/>
          <w:sz w:val="24"/>
          <w:szCs w:val="24"/>
        </w:rPr>
      </w:pPr>
      <w:r w:rsidRPr="002B6139">
        <w:rPr>
          <w:rFonts w:asciiTheme="minorHAnsi" w:hAnsiTheme="minorHAnsi"/>
          <w:sz w:val="24"/>
          <w:szCs w:val="24"/>
        </w:rPr>
        <w:t xml:space="preserve">Note: </w:t>
      </w:r>
      <w:r w:rsidRPr="002B6139">
        <w:rPr>
          <w:rFonts w:asciiTheme="minorHAnsi" w:hAnsiTheme="minorHAnsi"/>
          <w:b/>
          <w:bCs/>
          <w:sz w:val="24"/>
          <w:szCs w:val="24"/>
        </w:rPr>
        <w:t>Cite this case for doctrine of vicarious liability.</w:t>
      </w:r>
    </w:p>
    <w:p w14:paraId="7275C9C4" w14:textId="19D5F825" w:rsidR="00DE50C0" w:rsidRPr="002B6139" w:rsidRDefault="00DE50C0" w:rsidP="00ED6D76">
      <w:pPr>
        <w:pStyle w:val="ListParagraph"/>
        <w:numPr>
          <w:ilvl w:val="0"/>
          <w:numId w:val="2"/>
        </w:numPr>
        <w:rPr>
          <w:rFonts w:asciiTheme="minorHAnsi" w:hAnsiTheme="minorHAnsi"/>
          <w:sz w:val="24"/>
          <w:szCs w:val="24"/>
        </w:rPr>
      </w:pPr>
      <w:r w:rsidRPr="002B6139">
        <w:rPr>
          <w:rFonts w:asciiTheme="minorHAnsi" w:hAnsiTheme="minorHAnsi"/>
          <w:b/>
          <w:bCs/>
          <w:sz w:val="24"/>
          <w:szCs w:val="24"/>
        </w:rPr>
        <w:t xml:space="preserve">Impairment is not a defence unless it amounts to </w:t>
      </w:r>
      <w:proofErr w:type="spellStart"/>
      <w:r w:rsidRPr="002B6139">
        <w:rPr>
          <w:rFonts w:asciiTheme="minorHAnsi" w:hAnsiTheme="minorHAnsi"/>
          <w:b/>
          <w:bCs/>
          <w:sz w:val="24"/>
          <w:szCs w:val="24"/>
        </w:rPr>
        <w:t>involuntarism</w:t>
      </w:r>
      <w:proofErr w:type="spellEnd"/>
      <w:r w:rsidRPr="002B6139">
        <w:rPr>
          <w:rFonts w:asciiTheme="minorHAnsi" w:hAnsiTheme="minorHAnsi"/>
          <w:sz w:val="24"/>
          <w:szCs w:val="24"/>
        </w:rPr>
        <w:t xml:space="preserve"> (the defendant’s actions were wholly beyond their control at the relevant time). (Roberts v Ramsbottom 1980 UK)</w:t>
      </w:r>
    </w:p>
    <w:p w14:paraId="09AB2C2C" w14:textId="270E7C2C" w:rsidR="00DE50C0" w:rsidRPr="002B6139" w:rsidRDefault="00DE50C0" w:rsidP="00ED6D76">
      <w:pPr>
        <w:pStyle w:val="ListParagraph"/>
        <w:numPr>
          <w:ilvl w:val="1"/>
          <w:numId w:val="2"/>
        </w:numPr>
        <w:rPr>
          <w:rFonts w:asciiTheme="minorHAnsi" w:hAnsiTheme="minorHAnsi"/>
          <w:sz w:val="24"/>
          <w:szCs w:val="24"/>
        </w:rPr>
      </w:pPr>
      <w:r w:rsidRPr="002B6139">
        <w:rPr>
          <w:rFonts w:asciiTheme="minorHAnsi" w:hAnsiTheme="minorHAnsi"/>
          <w:sz w:val="24"/>
          <w:szCs w:val="24"/>
        </w:rPr>
        <w:t>The objective standard applies if the defendant maintains some control, even if that control is imperfect. (Roberts v Ramsbottom 1980 UK)</w:t>
      </w:r>
    </w:p>
    <w:p w14:paraId="0D9D7722" w14:textId="3E1B4E4C" w:rsidR="00DE50C0" w:rsidRPr="002B6139" w:rsidRDefault="00DE50C0" w:rsidP="00ED6D76">
      <w:pPr>
        <w:pStyle w:val="ListParagraph"/>
        <w:numPr>
          <w:ilvl w:val="0"/>
          <w:numId w:val="2"/>
        </w:numPr>
        <w:rPr>
          <w:rFonts w:asciiTheme="minorHAnsi" w:hAnsiTheme="minorHAnsi"/>
          <w:sz w:val="24"/>
          <w:szCs w:val="24"/>
        </w:rPr>
      </w:pPr>
      <w:r w:rsidRPr="002B6139">
        <w:rPr>
          <w:rFonts w:asciiTheme="minorHAnsi" w:hAnsiTheme="minorHAnsi"/>
          <w:b/>
          <w:bCs/>
          <w:sz w:val="24"/>
          <w:szCs w:val="24"/>
        </w:rPr>
        <w:t xml:space="preserve">Medically caused impairment is not a defence unless it amounts to </w:t>
      </w:r>
      <w:proofErr w:type="spellStart"/>
      <w:r w:rsidRPr="002B6139">
        <w:rPr>
          <w:rFonts w:asciiTheme="minorHAnsi" w:hAnsiTheme="minorHAnsi"/>
          <w:b/>
          <w:bCs/>
          <w:sz w:val="24"/>
          <w:szCs w:val="24"/>
        </w:rPr>
        <w:t>involuntarism</w:t>
      </w:r>
      <w:proofErr w:type="spellEnd"/>
      <w:r w:rsidRPr="002B6139">
        <w:rPr>
          <w:rFonts w:asciiTheme="minorHAnsi" w:hAnsiTheme="minorHAnsi"/>
          <w:sz w:val="24"/>
          <w:szCs w:val="24"/>
        </w:rPr>
        <w:t xml:space="preserve"> (the defendant was completely incapable and exercised no control over their actions). (Dunnage v Randall 2016 UKCA)</w:t>
      </w:r>
    </w:p>
    <w:p w14:paraId="28D68B7E" w14:textId="3202882E" w:rsidR="00DE50C0" w:rsidRPr="002B6139" w:rsidRDefault="00AB3A9C" w:rsidP="00ED6D76">
      <w:pPr>
        <w:pStyle w:val="ListParagraph"/>
        <w:numPr>
          <w:ilvl w:val="0"/>
          <w:numId w:val="2"/>
        </w:numPr>
        <w:rPr>
          <w:rFonts w:asciiTheme="minorHAnsi" w:hAnsiTheme="minorHAnsi"/>
          <w:sz w:val="24"/>
          <w:szCs w:val="24"/>
        </w:rPr>
      </w:pPr>
      <w:r w:rsidRPr="002B6139">
        <w:rPr>
          <w:rFonts w:asciiTheme="minorHAnsi" w:hAnsiTheme="minorHAnsi"/>
          <w:b/>
          <w:bCs/>
          <w:sz w:val="24"/>
          <w:szCs w:val="24"/>
        </w:rPr>
        <w:t>Possible exception</w:t>
      </w:r>
      <w:r w:rsidRPr="002B6139">
        <w:rPr>
          <w:rFonts w:asciiTheme="minorHAnsi" w:hAnsiTheme="minorHAnsi"/>
          <w:sz w:val="24"/>
          <w:szCs w:val="24"/>
        </w:rPr>
        <w:t>: Where a defendant neither knew nor could be reasonably expected to know that he had a medical condition which would impair his ability to undertake some activity, the applicable standard of care is that of a reasonable person engaged in that activity unaware that they were suffering from a condition that impaired their ability to engage in it. (Mansfield v Weetabix 1998 UKCA)</w:t>
      </w:r>
    </w:p>
    <w:p w14:paraId="7CF29A1D" w14:textId="201E521C" w:rsidR="00AB3A9C" w:rsidRPr="002B6139" w:rsidRDefault="00AB3A9C" w:rsidP="00ED6D76">
      <w:pPr>
        <w:pStyle w:val="ListParagraph"/>
        <w:numPr>
          <w:ilvl w:val="1"/>
          <w:numId w:val="2"/>
        </w:numPr>
        <w:rPr>
          <w:rFonts w:asciiTheme="minorHAnsi" w:hAnsiTheme="minorHAnsi"/>
          <w:sz w:val="24"/>
          <w:szCs w:val="24"/>
        </w:rPr>
      </w:pPr>
      <w:r w:rsidRPr="002B6139">
        <w:rPr>
          <w:rFonts w:asciiTheme="minorHAnsi" w:hAnsiTheme="minorHAnsi"/>
          <w:sz w:val="24"/>
          <w:szCs w:val="24"/>
        </w:rPr>
        <w:t>Facts: Defendant’s driver did not know he had a medical condition which caused impairment when his blood sugar was low. He caused a series of accidents by driving with low blood sugar.</w:t>
      </w:r>
    </w:p>
    <w:p w14:paraId="3B09A031" w14:textId="5301435B" w:rsidR="003D2AE5" w:rsidRPr="002B6139" w:rsidRDefault="003D2AE5" w:rsidP="00ED6D76">
      <w:pPr>
        <w:pStyle w:val="ListParagraph"/>
        <w:numPr>
          <w:ilvl w:val="2"/>
          <w:numId w:val="2"/>
        </w:numPr>
        <w:rPr>
          <w:rFonts w:asciiTheme="minorHAnsi" w:hAnsiTheme="minorHAnsi"/>
          <w:sz w:val="24"/>
          <w:szCs w:val="24"/>
        </w:rPr>
      </w:pPr>
      <w:r w:rsidRPr="002B6139">
        <w:rPr>
          <w:rFonts w:asciiTheme="minorHAnsi" w:hAnsiTheme="minorHAnsi"/>
          <w:sz w:val="24"/>
          <w:szCs w:val="24"/>
        </w:rPr>
        <w:t xml:space="preserve">This is </w:t>
      </w:r>
      <w:proofErr w:type="gramStart"/>
      <w:r w:rsidRPr="002B6139">
        <w:rPr>
          <w:rFonts w:asciiTheme="minorHAnsi" w:hAnsiTheme="minorHAnsi"/>
          <w:sz w:val="24"/>
          <w:szCs w:val="24"/>
        </w:rPr>
        <w:t>similar to</w:t>
      </w:r>
      <w:proofErr w:type="gramEnd"/>
      <w:r w:rsidRPr="002B6139">
        <w:rPr>
          <w:rFonts w:asciiTheme="minorHAnsi" w:hAnsiTheme="minorHAnsi"/>
          <w:sz w:val="24"/>
          <w:szCs w:val="24"/>
        </w:rPr>
        <w:t xml:space="preserve"> R v King in crim. Cite for similar reasons since both cases go to voluntarism for impaired driving where the defendant neither knew nor could reasonably foresee the impairment. I think it’s not an exception, but </w:t>
      </w:r>
      <w:proofErr w:type="gramStart"/>
      <w:r w:rsidRPr="002B6139">
        <w:rPr>
          <w:rFonts w:asciiTheme="minorHAnsi" w:hAnsiTheme="minorHAnsi"/>
          <w:sz w:val="24"/>
          <w:szCs w:val="24"/>
        </w:rPr>
        <w:t>actually consistent</w:t>
      </w:r>
      <w:proofErr w:type="gramEnd"/>
      <w:r w:rsidRPr="002B6139">
        <w:rPr>
          <w:rFonts w:asciiTheme="minorHAnsi" w:hAnsiTheme="minorHAnsi"/>
          <w:sz w:val="24"/>
          <w:szCs w:val="24"/>
        </w:rPr>
        <w:t xml:space="preserve"> with the overall rule of no liability for involuntary acts. The confusion comes from the tendency to regard </w:t>
      </w:r>
      <w:proofErr w:type="spellStart"/>
      <w:r w:rsidRPr="002B6139">
        <w:rPr>
          <w:rFonts w:asciiTheme="minorHAnsi" w:hAnsiTheme="minorHAnsi"/>
          <w:sz w:val="24"/>
          <w:szCs w:val="24"/>
        </w:rPr>
        <w:t>involuntarism</w:t>
      </w:r>
      <w:proofErr w:type="spellEnd"/>
      <w:r w:rsidRPr="002B6139">
        <w:rPr>
          <w:rFonts w:asciiTheme="minorHAnsi" w:hAnsiTheme="minorHAnsi"/>
          <w:sz w:val="24"/>
          <w:szCs w:val="24"/>
        </w:rPr>
        <w:t xml:space="preserve"> as equivalent to automatism or unconsciousness, that is, to mindless states. But voluntarism </w:t>
      </w:r>
      <w:r w:rsidRPr="002B6139">
        <w:rPr>
          <w:rFonts w:asciiTheme="minorHAnsi" w:hAnsiTheme="minorHAnsi"/>
          <w:sz w:val="24"/>
          <w:szCs w:val="24"/>
        </w:rPr>
        <w:lastRenderedPageBreak/>
        <w:t xml:space="preserve">involves a willing mind capable of making a definite choice to do that act. </w:t>
      </w:r>
    </w:p>
    <w:p w14:paraId="23774375" w14:textId="524CC13E" w:rsidR="00DD625C" w:rsidRPr="002B6139" w:rsidRDefault="00DD625C" w:rsidP="00DD625C">
      <w:pPr>
        <w:pStyle w:val="Heading2"/>
      </w:pPr>
      <w:r w:rsidRPr="002B6139">
        <w:t xml:space="preserve">How does the existence of a custom </w:t>
      </w:r>
      <w:r w:rsidR="009F6651" w:rsidRPr="002B6139">
        <w:t>impact what constitutes reasonable care?</w:t>
      </w:r>
    </w:p>
    <w:p w14:paraId="0C377AC4" w14:textId="31B43DD4" w:rsidR="00751FC5" w:rsidRPr="002B6139" w:rsidRDefault="00751FC5" w:rsidP="00ED6D76">
      <w:pPr>
        <w:pStyle w:val="ListParagraph"/>
        <w:numPr>
          <w:ilvl w:val="0"/>
          <w:numId w:val="5"/>
        </w:numPr>
        <w:rPr>
          <w:sz w:val="24"/>
          <w:szCs w:val="24"/>
        </w:rPr>
      </w:pPr>
      <w:r w:rsidRPr="002B6139">
        <w:rPr>
          <w:sz w:val="24"/>
          <w:szCs w:val="24"/>
        </w:rPr>
        <w:t xml:space="preserve">The party alleging the existence of a custom bears the onus of proving it exists. (Trimarco NYCA 1982, affirmed by </w:t>
      </w:r>
      <w:proofErr w:type="spellStart"/>
      <w:r w:rsidR="00E14B27" w:rsidRPr="002B6139">
        <w:rPr>
          <w:sz w:val="24"/>
          <w:szCs w:val="24"/>
        </w:rPr>
        <w:t>Waldick</w:t>
      </w:r>
      <w:proofErr w:type="spellEnd"/>
      <w:r w:rsidRPr="002B6139">
        <w:rPr>
          <w:sz w:val="24"/>
          <w:szCs w:val="24"/>
        </w:rPr>
        <w:t xml:space="preserve"> v </w:t>
      </w:r>
      <w:r w:rsidR="00E14B27" w:rsidRPr="002B6139">
        <w:rPr>
          <w:sz w:val="24"/>
          <w:szCs w:val="24"/>
        </w:rPr>
        <w:t>Malcolm</w:t>
      </w:r>
      <w:r w:rsidRPr="002B6139">
        <w:rPr>
          <w:sz w:val="24"/>
          <w:szCs w:val="24"/>
        </w:rPr>
        <w:t xml:space="preserve"> 1991 SCC)</w:t>
      </w:r>
    </w:p>
    <w:p w14:paraId="6DBFC0DA" w14:textId="69FC9B93" w:rsidR="00751FC5" w:rsidRPr="002B6139" w:rsidRDefault="00751FC5" w:rsidP="00ED6D76">
      <w:pPr>
        <w:pStyle w:val="ListParagraph"/>
        <w:numPr>
          <w:ilvl w:val="0"/>
          <w:numId w:val="5"/>
        </w:numPr>
        <w:rPr>
          <w:sz w:val="24"/>
          <w:szCs w:val="24"/>
        </w:rPr>
      </w:pPr>
      <w:r w:rsidRPr="002B6139">
        <w:rPr>
          <w:sz w:val="24"/>
          <w:szCs w:val="24"/>
        </w:rPr>
        <w:t xml:space="preserve">The existence of a custom may be evidence of what constitutes reasonable </w:t>
      </w:r>
      <w:proofErr w:type="gramStart"/>
      <w:r w:rsidRPr="002B6139">
        <w:rPr>
          <w:sz w:val="24"/>
          <w:szCs w:val="24"/>
        </w:rPr>
        <w:t>care</w:t>
      </w:r>
      <w:proofErr w:type="gramEnd"/>
      <w:r w:rsidRPr="002B6139">
        <w:rPr>
          <w:sz w:val="24"/>
          <w:szCs w:val="24"/>
        </w:rPr>
        <w:t xml:space="preserve"> but it is not determinative because a custom itself may be unreasonable. (Trimarco NYCA 1982, affirmed by </w:t>
      </w:r>
      <w:proofErr w:type="spellStart"/>
      <w:r w:rsidR="00E14B27" w:rsidRPr="002B6139">
        <w:rPr>
          <w:sz w:val="24"/>
          <w:szCs w:val="24"/>
        </w:rPr>
        <w:t>Waldick</w:t>
      </w:r>
      <w:proofErr w:type="spellEnd"/>
      <w:r w:rsidR="00E14B27" w:rsidRPr="002B6139">
        <w:rPr>
          <w:sz w:val="24"/>
          <w:szCs w:val="24"/>
        </w:rPr>
        <w:t xml:space="preserve"> v Malcolm </w:t>
      </w:r>
      <w:r w:rsidRPr="002B6139">
        <w:rPr>
          <w:sz w:val="24"/>
          <w:szCs w:val="24"/>
        </w:rPr>
        <w:t>1991 SCC)</w:t>
      </w:r>
    </w:p>
    <w:p w14:paraId="7326CDC9" w14:textId="0C74B698" w:rsidR="00751FC5" w:rsidRPr="002B6139" w:rsidRDefault="00751FC5" w:rsidP="00ED6D76">
      <w:pPr>
        <w:pStyle w:val="ListParagraph"/>
        <w:numPr>
          <w:ilvl w:val="0"/>
          <w:numId w:val="5"/>
        </w:numPr>
        <w:rPr>
          <w:sz w:val="24"/>
          <w:szCs w:val="24"/>
        </w:rPr>
      </w:pPr>
      <w:r w:rsidRPr="002B6139">
        <w:rPr>
          <w:sz w:val="24"/>
          <w:szCs w:val="24"/>
        </w:rPr>
        <w:t xml:space="preserve">Where a practice is not customary or goes against custom, omitting to do it may breach the standard of care because “there are precautions so imperative that even their universal disregard will not excuse their omission.” (TJ Hooper US 1932, affirmed by </w:t>
      </w:r>
      <w:proofErr w:type="spellStart"/>
      <w:r w:rsidR="00E14B27" w:rsidRPr="002B6139">
        <w:rPr>
          <w:sz w:val="24"/>
          <w:szCs w:val="24"/>
        </w:rPr>
        <w:t>Waldick</w:t>
      </w:r>
      <w:proofErr w:type="spellEnd"/>
      <w:r w:rsidR="00E14B27" w:rsidRPr="002B6139">
        <w:rPr>
          <w:sz w:val="24"/>
          <w:szCs w:val="24"/>
        </w:rPr>
        <w:t xml:space="preserve"> v Malcolm </w:t>
      </w:r>
      <w:r w:rsidRPr="002B6139">
        <w:rPr>
          <w:sz w:val="24"/>
          <w:szCs w:val="24"/>
        </w:rPr>
        <w:t>1991 SCC)</w:t>
      </w:r>
    </w:p>
    <w:p w14:paraId="5ADC50FA" w14:textId="75F22AD4" w:rsidR="0020606A" w:rsidRPr="002B6139" w:rsidRDefault="00751FC5" w:rsidP="00ED6D76">
      <w:pPr>
        <w:pStyle w:val="ListParagraph"/>
        <w:numPr>
          <w:ilvl w:val="0"/>
          <w:numId w:val="5"/>
        </w:numPr>
        <w:rPr>
          <w:sz w:val="24"/>
          <w:szCs w:val="24"/>
        </w:rPr>
      </w:pPr>
      <w:r w:rsidRPr="002B6139">
        <w:rPr>
          <w:sz w:val="24"/>
          <w:szCs w:val="24"/>
        </w:rPr>
        <w:t>Customs and practices are based on typical circumstances, so when circumstances are atypical, an otherwise reasonable and generally accepted custom or practice does not absolve a defendant from their duty to take reasonable precautions. (</w:t>
      </w:r>
      <w:proofErr w:type="spellStart"/>
      <w:r w:rsidR="00E14B27" w:rsidRPr="002B6139">
        <w:rPr>
          <w:sz w:val="24"/>
          <w:szCs w:val="24"/>
        </w:rPr>
        <w:t>Waldick</w:t>
      </w:r>
      <w:proofErr w:type="spellEnd"/>
      <w:r w:rsidR="00E14B27" w:rsidRPr="002B6139">
        <w:rPr>
          <w:sz w:val="24"/>
          <w:szCs w:val="24"/>
        </w:rPr>
        <w:t xml:space="preserve"> v Malcolm </w:t>
      </w:r>
      <w:r w:rsidRPr="002B6139">
        <w:rPr>
          <w:sz w:val="24"/>
          <w:szCs w:val="24"/>
        </w:rPr>
        <w:t>1991 SCC)</w:t>
      </w:r>
    </w:p>
    <w:p w14:paraId="055DA605" w14:textId="26ADCEFD" w:rsidR="009F6651" w:rsidRPr="002B6139" w:rsidRDefault="009F6651" w:rsidP="009F6651">
      <w:pPr>
        <w:pStyle w:val="Heading2"/>
      </w:pPr>
      <w:r w:rsidRPr="002B6139">
        <w:t xml:space="preserve">Note on Professional/Technical Customs and </w:t>
      </w:r>
      <w:proofErr w:type="spellStart"/>
      <w:r w:rsidRPr="002B6139">
        <w:t>Practiecs</w:t>
      </w:r>
      <w:proofErr w:type="spellEnd"/>
    </w:p>
    <w:p w14:paraId="53F7F053" w14:textId="77777777" w:rsidR="00751FC5" w:rsidRPr="002B6139" w:rsidRDefault="00751FC5" w:rsidP="00ED6D76">
      <w:pPr>
        <w:pStyle w:val="ListParagraph"/>
        <w:numPr>
          <w:ilvl w:val="0"/>
          <w:numId w:val="6"/>
        </w:numPr>
        <w:rPr>
          <w:sz w:val="24"/>
          <w:szCs w:val="24"/>
        </w:rPr>
      </w:pPr>
      <w:r w:rsidRPr="002B6139">
        <w:rPr>
          <w:b/>
          <w:bCs/>
          <w:sz w:val="24"/>
          <w:szCs w:val="24"/>
        </w:rPr>
        <w:t>General Rule</w:t>
      </w:r>
      <w:r w:rsidRPr="002B6139">
        <w:rPr>
          <w:sz w:val="24"/>
          <w:szCs w:val="24"/>
        </w:rPr>
        <w:t xml:space="preserve">: “where a procedure involves difficult or uncertain questions of medical treatment, or complex, scientific or highly technical matters… beyond the ordinary experience and understanding of a judge or jury, it will not be open to find the standard medical practice negligent.” (Ter </w:t>
      </w:r>
      <w:proofErr w:type="spellStart"/>
      <w:r w:rsidRPr="002B6139">
        <w:rPr>
          <w:sz w:val="24"/>
          <w:szCs w:val="24"/>
        </w:rPr>
        <w:t>Neuzen</w:t>
      </w:r>
      <w:proofErr w:type="spellEnd"/>
      <w:r w:rsidRPr="002B6139">
        <w:rPr>
          <w:sz w:val="24"/>
          <w:szCs w:val="24"/>
        </w:rPr>
        <w:t xml:space="preserve"> 1995 SCC)</w:t>
      </w:r>
    </w:p>
    <w:p w14:paraId="6566DE6F" w14:textId="77777777" w:rsidR="00751FC5" w:rsidRPr="002B6139" w:rsidRDefault="00751FC5" w:rsidP="00ED6D76">
      <w:pPr>
        <w:pStyle w:val="ListParagraph"/>
        <w:numPr>
          <w:ilvl w:val="1"/>
          <w:numId w:val="6"/>
        </w:numPr>
        <w:rPr>
          <w:sz w:val="24"/>
          <w:szCs w:val="24"/>
        </w:rPr>
      </w:pPr>
      <w:r w:rsidRPr="002B6139">
        <w:rPr>
          <w:b/>
          <w:bCs/>
          <w:sz w:val="24"/>
          <w:szCs w:val="24"/>
        </w:rPr>
        <w:t>Exception</w:t>
      </w:r>
      <w:r w:rsidRPr="002B6139">
        <w:rPr>
          <w:sz w:val="24"/>
          <w:szCs w:val="24"/>
        </w:rPr>
        <w:t xml:space="preserve">: “if a standard practice fails to adopt obvious and reasonable precautions which are readily apparent to the ordinary finder of fact, then it is no excuse for a practitioner to claim that [they were] merely conforming to such a negligent common practice.” (Ter </w:t>
      </w:r>
      <w:proofErr w:type="spellStart"/>
      <w:r w:rsidRPr="002B6139">
        <w:rPr>
          <w:sz w:val="24"/>
          <w:szCs w:val="24"/>
        </w:rPr>
        <w:t>Neuzen</w:t>
      </w:r>
      <w:proofErr w:type="spellEnd"/>
      <w:r w:rsidRPr="002B6139">
        <w:rPr>
          <w:sz w:val="24"/>
          <w:szCs w:val="24"/>
        </w:rPr>
        <w:t xml:space="preserve"> 1995 SCC)</w:t>
      </w:r>
    </w:p>
    <w:p w14:paraId="36318667" w14:textId="29776B94" w:rsidR="00751FC5" w:rsidRPr="002B6139" w:rsidRDefault="00751FC5" w:rsidP="00ED6D76">
      <w:pPr>
        <w:pStyle w:val="ListParagraph"/>
        <w:numPr>
          <w:ilvl w:val="2"/>
          <w:numId w:val="6"/>
        </w:numPr>
        <w:rPr>
          <w:sz w:val="24"/>
          <w:szCs w:val="24"/>
        </w:rPr>
      </w:pPr>
      <w:r w:rsidRPr="002B6139">
        <w:rPr>
          <w:b/>
          <w:bCs/>
          <w:sz w:val="24"/>
          <w:szCs w:val="24"/>
        </w:rPr>
        <w:t>Exception to the exception</w:t>
      </w:r>
      <w:r w:rsidRPr="002B6139">
        <w:rPr>
          <w:sz w:val="24"/>
          <w:szCs w:val="24"/>
        </w:rPr>
        <w:t xml:space="preserve">: Lawyers are not subject to this exception because a judge can assess what a reasonable lawyer would do. (Ter </w:t>
      </w:r>
      <w:proofErr w:type="spellStart"/>
      <w:r w:rsidRPr="002B6139">
        <w:rPr>
          <w:sz w:val="24"/>
          <w:szCs w:val="24"/>
        </w:rPr>
        <w:t>Neuzen</w:t>
      </w:r>
      <w:proofErr w:type="spellEnd"/>
      <w:r w:rsidRPr="002B6139">
        <w:rPr>
          <w:sz w:val="24"/>
          <w:szCs w:val="24"/>
        </w:rPr>
        <w:t xml:space="preserve"> 1995 SCC)</w:t>
      </w:r>
    </w:p>
    <w:p w14:paraId="067C66F1" w14:textId="73A72046" w:rsidR="000A0317" w:rsidRPr="002B6139" w:rsidRDefault="00111975" w:rsidP="00111975">
      <w:pPr>
        <w:pStyle w:val="Heading2"/>
      </w:pPr>
      <w:r w:rsidRPr="002B6139">
        <w:t xml:space="preserve">Note on </w:t>
      </w:r>
      <w:r w:rsidRPr="002B6139">
        <w:rPr>
          <w:i/>
          <w:iCs/>
        </w:rPr>
        <w:t>Res Ipsa Loquitur</w:t>
      </w:r>
    </w:p>
    <w:p w14:paraId="7F58CA13" w14:textId="15399296" w:rsidR="00111975" w:rsidRPr="002B6139" w:rsidRDefault="00C65F40" w:rsidP="00ED6D76">
      <w:pPr>
        <w:pStyle w:val="ListParagraph"/>
        <w:numPr>
          <w:ilvl w:val="0"/>
          <w:numId w:val="10"/>
        </w:numPr>
        <w:rPr>
          <w:sz w:val="24"/>
          <w:szCs w:val="24"/>
        </w:rPr>
      </w:pPr>
      <w:r w:rsidRPr="002B6139">
        <w:rPr>
          <w:sz w:val="24"/>
          <w:szCs w:val="24"/>
        </w:rPr>
        <w:t xml:space="preserve">Byrne v Boadle 1863 UK: </w:t>
      </w:r>
      <w:r w:rsidR="00A86277" w:rsidRPr="002B6139">
        <w:rPr>
          <w:sz w:val="24"/>
          <w:szCs w:val="24"/>
        </w:rPr>
        <w:t>Origin of Res Ipsa Loquitur; a barrel of flower drops on a guy’s head as he was walking by a shop; only evidence was the accident itself</w:t>
      </w:r>
    </w:p>
    <w:p w14:paraId="4CBB47B1" w14:textId="0A837520" w:rsidR="00A86277" w:rsidRPr="002B6139" w:rsidRDefault="00F71D8F" w:rsidP="00ED6D76">
      <w:pPr>
        <w:pStyle w:val="ListParagraph"/>
        <w:numPr>
          <w:ilvl w:val="0"/>
          <w:numId w:val="10"/>
        </w:numPr>
        <w:rPr>
          <w:sz w:val="24"/>
          <w:szCs w:val="24"/>
        </w:rPr>
      </w:pPr>
      <w:r w:rsidRPr="002B6139">
        <w:rPr>
          <w:sz w:val="24"/>
          <w:szCs w:val="24"/>
        </w:rPr>
        <w:t>Baker v Market Harborough Industrial Cooperative Society Ltd, 1954 UKCA Denning</w:t>
      </w:r>
    </w:p>
    <w:p w14:paraId="075D0CAA" w14:textId="77777777" w:rsidR="008F5B5B" w:rsidRPr="002B6139" w:rsidRDefault="008F5B5B" w:rsidP="00ED6D76">
      <w:pPr>
        <w:pStyle w:val="ListParagraph"/>
        <w:numPr>
          <w:ilvl w:val="1"/>
          <w:numId w:val="10"/>
        </w:numPr>
        <w:rPr>
          <w:sz w:val="24"/>
          <w:szCs w:val="24"/>
        </w:rPr>
      </w:pPr>
      <w:r w:rsidRPr="002B6139">
        <w:rPr>
          <w:sz w:val="24"/>
          <w:szCs w:val="24"/>
        </w:rPr>
        <w:t>Suppose there’s a car crash, and both drivers die.</w:t>
      </w:r>
    </w:p>
    <w:p w14:paraId="17BB7BF9" w14:textId="77777777" w:rsidR="008F5B5B" w:rsidRPr="002B6139" w:rsidRDefault="008F5B5B" w:rsidP="00ED6D76">
      <w:pPr>
        <w:pStyle w:val="ListParagraph"/>
        <w:numPr>
          <w:ilvl w:val="1"/>
          <w:numId w:val="10"/>
        </w:numPr>
        <w:rPr>
          <w:sz w:val="24"/>
          <w:szCs w:val="24"/>
        </w:rPr>
      </w:pPr>
      <w:r w:rsidRPr="002B6139">
        <w:rPr>
          <w:sz w:val="24"/>
          <w:szCs w:val="24"/>
        </w:rPr>
        <w:t>The families sue each other for negligence, but the only evidence is the crash.</w:t>
      </w:r>
    </w:p>
    <w:p w14:paraId="0E8FCB5D" w14:textId="77777777" w:rsidR="008F5B5B" w:rsidRPr="002B6139" w:rsidRDefault="008F5B5B" w:rsidP="00ED6D76">
      <w:pPr>
        <w:pStyle w:val="ListParagraph"/>
        <w:numPr>
          <w:ilvl w:val="1"/>
          <w:numId w:val="10"/>
        </w:numPr>
        <w:rPr>
          <w:sz w:val="24"/>
          <w:szCs w:val="24"/>
        </w:rPr>
      </w:pPr>
      <w:r w:rsidRPr="002B6139">
        <w:rPr>
          <w:sz w:val="24"/>
          <w:szCs w:val="24"/>
        </w:rPr>
        <w:lastRenderedPageBreak/>
        <w:t xml:space="preserve">If it’s more probable that one </w:t>
      </w:r>
      <w:proofErr w:type="gramStart"/>
      <w:r w:rsidRPr="002B6139">
        <w:rPr>
          <w:sz w:val="24"/>
          <w:szCs w:val="24"/>
        </w:rPr>
        <w:t>party</w:t>
      </w:r>
      <w:proofErr w:type="gramEnd"/>
      <w:r w:rsidRPr="002B6139">
        <w:rPr>
          <w:sz w:val="24"/>
          <w:szCs w:val="24"/>
        </w:rPr>
        <w:t xml:space="preserve"> did it, then that party is liable for negligence,</w:t>
      </w:r>
    </w:p>
    <w:p w14:paraId="3D796256" w14:textId="77777777" w:rsidR="008F5B5B" w:rsidRPr="002B6139" w:rsidRDefault="008F5B5B" w:rsidP="00ED6D76">
      <w:pPr>
        <w:pStyle w:val="ListParagraph"/>
        <w:numPr>
          <w:ilvl w:val="1"/>
          <w:numId w:val="10"/>
        </w:numPr>
        <w:rPr>
          <w:sz w:val="24"/>
          <w:szCs w:val="24"/>
        </w:rPr>
      </w:pPr>
      <w:r w:rsidRPr="002B6139">
        <w:rPr>
          <w:sz w:val="24"/>
          <w:szCs w:val="24"/>
        </w:rPr>
        <w:t>If both parties are equally likely to have been the cause of the accident, then they’re both equally liable.</w:t>
      </w:r>
    </w:p>
    <w:p w14:paraId="74BE55E1" w14:textId="77777777" w:rsidR="008F5B5B" w:rsidRPr="002B6139" w:rsidRDefault="008F5B5B" w:rsidP="00ED6D76">
      <w:pPr>
        <w:pStyle w:val="ListParagraph"/>
        <w:numPr>
          <w:ilvl w:val="1"/>
          <w:numId w:val="10"/>
        </w:numPr>
        <w:rPr>
          <w:sz w:val="24"/>
          <w:szCs w:val="24"/>
        </w:rPr>
      </w:pPr>
      <w:r w:rsidRPr="002B6139">
        <w:rPr>
          <w:sz w:val="24"/>
          <w:szCs w:val="24"/>
        </w:rPr>
        <w:t xml:space="preserve">If the accident could have been caused by either one of the two parties or </w:t>
      </w:r>
      <w:proofErr w:type="gramStart"/>
      <w:r w:rsidRPr="002B6139">
        <w:rPr>
          <w:sz w:val="24"/>
          <w:szCs w:val="24"/>
        </w:rPr>
        <w:t>both of them</w:t>
      </w:r>
      <w:proofErr w:type="gramEnd"/>
      <w:r w:rsidRPr="002B6139">
        <w:rPr>
          <w:sz w:val="24"/>
          <w:szCs w:val="24"/>
        </w:rPr>
        <w:t>, then both parties are equally liable because the judge has no evidence to say which hypothesis was more likely.</w:t>
      </w:r>
    </w:p>
    <w:p w14:paraId="22707C09" w14:textId="5EDFA9BE" w:rsidR="00F71D8F" w:rsidRPr="002B6139" w:rsidRDefault="008F5B5B" w:rsidP="00ED6D76">
      <w:pPr>
        <w:pStyle w:val="ListParagraph"/>
        <w:numPr>
          <w:ilvl w:val="0"/>
          <w:numId w:val="10"/>
        </w:numPr>
        <w:rPr>
          <w:sz w:val="24"/>
          <w:szCs w:val="24"/>
        </w:rPr>
      </w:pPr>
      <w:r w:rsidRPr="002B6139">
        <w:rPr>
          <w:sz w:val="24"/>
          <w:szCs w:val="24"/>
        </w:rPr>
        <w:t>Fontain v British Columba (Official Administrator) 1998 SCC: LEADING CASE</w:t>
      </w:r>
    </w:p>
    <w:p w14:paraId="53D97B9F" w14:textId="370311E3" w:rsidR="005E3532" w:rsidRPr="002B6139" w:rsidRDefault="005E3532" w:rsidP="00ED6D76">
      <w:pPr>
        <w:pStyle w:val="ListParagraph"/>
        <w:numPr>
          <w:ilvl w:val="1"/>
          <w:numId w:val="10"/>
        </w:numPr>
        <w:rPr>
          <w:sz w:val="24"/>
          <w:szCs w:val="24"/>
        </w:rPr>
      </w:pPr>
      <w:r w:rsidRPr="002B6139">
        <w:rPr>
          <w:sz w:val="24"/>
          <w:szCs w:val="24"/>
        </w:rPr>
        <w:t>RES IPSA LOQUITOR DOES NOT EXIST. REPLACED WITH TACTICAL EVIDENTIARY BURDEN. NO SHIFT IN LEGAL BURDEN OF PROOF</w:t>
      </w:r>
    </w:p>
    <w:p w14:paraId="6DC9CC6C" w14:textId="118A7CEE" w:rsidR="00447394" w:rsidRPr="002B6139" w:rsidRDefault="00447394" w:rsidP="00ED6D76">
      <w:pPr>
        <w:pStyle w:val="ListParagraph"/>
        <w:numPr>
          <w:ilvl w:val="1"/>
          <w:numId w:val="10"/>
        </w:numPr>
        <w:rPr>
          <w:sz w:val="24"/>
          <w:szCs w:val="24"/>
        </w:rPr>
      </w:pPr>
      <w:r w:rsidRPr="002B6139">
        <w:rPr>
          <w:sz w:val="24"/>
          <w:szCs w:val="24"/>
        </w:rPr>
        <w:t xml:space="preserve">“Res ipsa loquitur, correctly understood, means that circumstantial evidence constitutes reasonable evidence of negligence. Accordingly, the plaintiff </w:t>
      </w:r>
      <w:proofErr w:type="gramStart"/>
      <w:r w:rsidRPr="002B6139">
        <w:rPr>
          <w:sz w:val="24"/>
          <w:szCs w:val="24"/>
        </w:rPr>
        <w:t>is able to</w:t>
      </w:r>
      <w:proofErr w:type="gramEnd"/>
      <w:r w:rsidRPr="002B6139">
        <w:rPr>
          <w:sz w:val="24"/>
          <w:szCs w:val="24"/>
        </w:rPr>
        <w:t xml:space="preserve"> overcome a motion for a non-</w:t>
      </w:r>
      <w:proofErr w:type="gramStart"/>
      <w:r w:rsidRPr="002B6139">
        <w:rPr>
          <w:sz w:val="24"/>
          <w:szCs w:val="24"/>
        </w:rPr>
        <w:t>suit</w:t>
      </w:r>
      <w:proofErr w:type="gramEnd"/>
      <w:r w:rsidRPr="002B6139">
        <w:rPr>
          <w:sz w:val="24"/>
          <w:szCs w:val="24"/>
        </w:rPr>
        <w:t xml:space="preserve"> and the trial judge is required to instruct the jury on the issue of negligence. The jury may, but need not, find negligence: a permissible fact inference. If, at the conclusion of the case, it would be equally reasonable to infer negligence or no negligence, the plaintiff will lose since he or she bears the legal burden on this issue. Under this construction, the maxim is superfluous. It can be treated simply as a case of circumstantial evidence.” (SCC quoting Sopinka J’s textbook)</w:t>
      </w:r>
    </w:p>
    <w:p w14:paraId="137BA759" w14:textId="3A8079B4" w:rsidR="005E3532" w:rsidRPr="002B6139" w:rsidRDefault="00EE1E0B" w:rsidP="00ED6D76">
      <w:pPr>
        <w:pStyle w:val="ListParagraph"/>
        <w:numPr>
          <w:ilvl w:val="1"/>
          <w:numId w:val="10"/>
        </w:numPr>
        <w:rPr>
          <w:sz w:val="24"/>
          <w:szCs w:val="24"/>
        </w:rPr>
      </w:pPr>
      <w:r w:rsidRPr="002B6139">
        <w:rPr>
          <w:sz w:val="24"/>
          <w:szCs w:val="24"/>
        </w:rPr>
        <w:t>“[Circumstantial evidence] is more sensibly dealt with by the trier of fact, who should weigh the circumstantial evidence with the direct evidence, if any, to determine whether the plaintiff has established on a balance of probabilities a prima facie case of negligence against the defendant. Once the plaintiff has done so, the defendant must present evidence negating that of the plaintiff or necessarily the plaintiff will succeed.”</w:t>
      </w:r>
    </w:p>
    <w:p w14:paraId="23B9C748" w14:textId="338115E1" w:rsidR="001229B6" w:rsidRPr="002B6139" w:rsidRDefault="001229B6" w:rsidP="001229B6">
      <w:pPr>
        <w:pStyle w:val="Heading1"/>
      </w:pPr>
      <w:r w:rsidRPr="002B6139">
        <w:t>Two: Duty of Care</w:t>
      </w:r>
    </w:p>
    <w:p w14:paraId="37FFB3FD" w14:textId="77777777" w:rsidR="00B56C1D" w:rsidRPr="002B6139" w:rsidRDefault="00B56C1D" w:rsidP="00ED6D76">
      <w:pPr>
        <w:pStyle w:val="ListParagraph"/>
        <w:numPr>
          <w:ilvl w:val="0"/>
          <w:numId w:val="7"/>
        </w:numPr>
        <w:rPr>
          <w:rFonts w:asciiTheme="minorHAnsi" w:hAnsiTheme="minorHAnsi"/>
          <w:b/>
          <w:bCs/>
          <w:sz w:val="24"/>
          <w:szCs w:val="24"/>
        </w:rPr>
      </w:pPr>
      <w:r w:rsidRPr="002B6139">
        <w:rPr>
          <w:rFonts w:asciiTheme="minorHAnsi" w:hAnsiTheme="minorHAnsi"/>
          <w:b/>
          <w:bCs/>
          <w:sz w:val="24"/>
          <w:szCs w:val="24"/>
        </w:rPr>
        <w:t xml:space="preserve">Negligence principle: “You must take reasonable care to avoid acts or omissions which you can reasonably foresee would be likely to injure your neighbour” </w:t>
      </w:r>
      <w:r w:rsidRPr="002B6139">
        <w:rPr>
          <w:rFonts w:asciiTheme="minorHAnsi" w:hAnsiTheme="minorHAnsi"/>
          <w:b/>
          <w:bCs/>
          <w:i/>
          <w:iCs/>
          <w:sz w:val="24"/>
          <w:szCs w:val="24"/>
        </w:rPr>
        <w:t>(</w:t>
      </w:r>
      <w:r w:rsidRPr="002B6139">
        <w:rPr>
          <w:rFonts w:asciiTheme="minorHAnsi" w:hAnsiTheme="minorHAnsi"/>
          <w:b/>
          <w:bCs/>
          <w:sz w:val="24"/>
          <w:szCs w:val="24"/>
        </w:rPr>
        <w:t>Lord Atkin</w:t>
      </w:r>
      <w:r w:rsidRPr="002B6139">
        <w:rPr>
          <w:rFonts w:asciiTheme="minorHAnsi" w:hAnsiTheme="minorHAnsi"/>
          <w:b/>
          <w:bCs/>
          <w:i/>
          <w:iCs/>
          <w:sz w:val="24"/>
          <w:szCs w:val="24"/>
        </w:rPr>
        <w:t xml:space="preserve"> </w:t>
      </w:r>
      <w:r w:rsidRPr="002B6139">
        <w:rPr>
          <w:rFonts w:asciiTheme="minorHAnsi" w:hAnsiTheme="minorHAnsi"/>
          <w:b/>
          <w:bCs/>
          <w:sz w:val="24"/>
          <w:szCs w:val="24"/>
        </w:rPr>
        <w:t>in</w:t>
      </w:r>
      <w:r w:rsidRPr="002B6139">
        <w:rPr>
          <w:rFonts w:asciiTheme="minorHAnsi" w:hAnsiTheme="minorHAnsi"/>
          <w:b/>
          <w:bCs/>
          <w:i/>
          <w:iCs/>
          <w:sz w:val="24"/>
          <w:szCs w:val="24"/>
        </w:rPr>
        <w:t xml:space="preserve"> Donoghue v Stevenson</w:t>
      </w:r>
      <w:r w:rsidRPr="002B6139">
        <w:rPr>
          <w:rFonts w:asciiTheme="minorHAnsi" w:hAnsiTheme="minorHAnsi"/>
          <w:b/>
          <w:bCs/>
          <w:sz w:val="24"/>
          <w:szCs w:val="24"/>
        </w:rPr>
        <w:t xml:space="preserve"> 1932 UKHL)</w:t>
      </w:r>
    </w:p>
    <w:p w14:paraId="78318CC0" w14:textId="77777777" w:rsidR="00B56C1D" w:rsidRPr="002B6139" w:rsidRDefault="00B56C1D" w:rsidP="00ED6D76">
      <w:pPr>
        <w:pStyle w:val="ListParagraph"/>
        <w:numPr>
          <w:ilvl w:val="1"/>
          <w:numId w:val="7"/>
        </w:numPr>
        <w:rPr>
          <w:rFonts w:asciiTheme="minorHAnsi" w:hAnsiTheme="minorHAnsi"/>
          <w:sz w:val="24"/>
          <w:szCs w:val="24"/>
        </w:rPr>
      </w:pPr>
      <w:r w:rsidRPr="002B6139">
        <w:rPr>
          <w:rFonts w:asciiTheme="minorHAnsi" w:hAnsiTheme="minorHAnsi"/>
          <w:sz w:val="24"/>
          <w:szCs w:val="24"/>
        </w:rPr>
        <w:t>The class of persons to whom a duty of care is owed is not affected by the fact that other persons could have prevented a risk through the exercise of reasonable care. (Clay v AJ Crump &amp; Sons 1964 UKCA)</w:t>
      </w:r>
    </w:p>
    <w:p w14:paraId="6F6A8446" w14:textId="77777777" w:rsidR="00B56C1D" w:rsidRPr="002B6139" w:rsidRDefault="00B56C1D" w:rsidP="00ED6D76">
      <w:pPr>
        <w:pStyle w:val="ListParagraph"/>
        <w:numPr>
          <w:ilvl w:val="1"/>
          <w:numId w:val="7"/>
        </w:numPr>
        <w:rPr>
          <w:rFonts w:asciiTheme="minorHAnsi" w:hAnsiTheme="minorHAnsi"/>
          <w:sz w:val="24"/>
          <w:szCs w:val="24"/>
        </w:rPr>
      </w:pPr>
      <w:r w:rsidRPr="002B6139">
        <w:rPr>
          <w:rFonts w:asciiTheme="minorHAnsi" w:hAnsiTheme="minorHAnsi"/>
          <w:sz w:val="24"/>
          <w:szCs w:val="24"/>
        </w:rPr>
        <w:t xml:space="preserve">Reasonable foreseeability of risk defines the scope of duty of care in terms of both the acts required and the persons to whom the duty is owed; risk to </w:t>
      </w:r>
      <w:r w:rsidRPr="002B6139">
        <w:rPr>
          <w:rFonts w:asciiTheme="minorHAnsi" w:hAnsiTheme="minorHAnsi"/>
          <w:sz w:val="24"/>
          <w:szCs w:val="24"/>
          <w:u w:val="single"/>
        </w:rPr>
        <w:t>whom</w:t>
      </w:r>
      <w:r w:rsidRPr="002B6139">
        <w:rPr>
          <w:rFonts w:asciiTheme="minorHAnsi" w:hAnsiTheme="minorHAnsi"/>
          <w:sz w:val="24"/>
          <w:szCs w:val="24"/>
        </w:rPr>
        <w:t>? (</w:t>
      </w:r>
      <w:proofErr w:type="spellStart"/>
      <w:r w:rsidRPr="002B6139">
        <w:rPr>
          <w:rFonts w:asciiTheme="minorHAnsi" w:hAnsiTheme="minorHAnsi"/>
          <w:sz w:val="24"/>
          <w:szCs w:val="24"/>
        </w:rPr>
        <w:t>Palsgraf</w:t>
      </w:r>
      <w:proofErr w:type="spellEnd"/>
      <w:r w:rsidRPr="002B6139">
        <w:rPr>
          <w:rFonts w:asciiTheme="minorHAnsi" w:hAnsiTheme="minorHAnsi"/>
          <w:sz w:val="24"/>
          <w:szCs w:val="24"/>
        </w:rPr>
        <w:t xml:space="preserve"> NYCA 1928)</w:t>
      </w:r>
    </w:p>
    <w:p w14:paraId="4B225B15" w14:textId="1445E91A" w:rsidR="00B56C1D" w:rsidRPr="002B6139" w:rsidRDefault="00B56C1D" w:rsidP="00ED6D76">
      <w:pPr>
        <w:pStyle w:val="ListParagraph"/>
        <w:numPr>
          <w:ilvl w:val="1"/>
          <w:numId w:val="7"/>
        </w:numPr>
        <w:rPr>
          <w:rFonts w:asciiTheme="minorHAnsi" w:hAnsiTheme="minorHAnsi"/>
          <w:sz w:val="24"/>
          <w:szCs w:val="24"/>
        </w:rPr>
      </w:pPr>
      <w:r w:rsidRPr="002B6139">
        <w:rPr>
          <w:rFonts w:asciiTheme="minorHAnsi" w:hAnsiTheme="minorHAnsi"/>
          <w:sz w:val="24"/>
          <w:szCs w:val="24"/>
        </w:rPr>
        <w:t xml:space="preserve">There is no liability without legal injury, thus liability in negligence requires the existence of a </w:t>
      </w:r>
      <w:r w:rsidR="001F429D" w:rsidRPr="002B6139">
        <w:rPr>
          <w:rFonts w:asciiTheme="minorHAnsi" w:hAnsiTheme="minorHAnsi"/>
          <w:sz w:val="24"/>
          <w:szCs w:val="24"/>
        </w:rPr>
        <w:t>legal right held by the plaintiff which has been breached by the defendant’s negligent act</w:t>
      </w:r>
      <w:r w:rsidRPr="002B6139">
        <w:rPr>
          <w:rFonts w:asciiTheme="minorHAnsi" w:hAnsiTheme="minorHAnsi"/>
          <w:sz w:val="24"/>
          <w:szCs w:val="24"/>
        </w:rPr>
        <w:t>. (</w:t>
      </w:r>
      <w:proofErr w:type="spellStart"/>
      <w:r w:rsidRPr="002B6139">
        <w:rPr>
          <w:rFonts w:asciiTheme="minorHAnsi" w:hAnsiTheme="minorHAnsi"/>
          <w:sz w:val="24"/>
          <w:szCs w:val="24"/>
        </w:rPr>
        <w:t>Palsgraf</w:t>
      </w:r>
      <w:proofErr w:type="spellEnd"/>
      <w:r w:rsidRPr="002B6139">
        <w:rPr>
          <w:rFonts w:asciiTheme="minorHAnsi" w:hAnsiTheme="minorHAnsi"/>
          <w:sz w:val="24"/>
          <w:szCs w:val="24"/>
        </w:rPr>
        <w:t xml:space="preserve"> NYCA 1928)</w:t>
      </w:r>
    </w:p>
    <w:p w14:paraId="48E7920C" w14:textId="50F74EDB" w:rsidR="00751FC5" w:rsidRPr="002B6139" w:rsidRDefault="00B56C1D" w:rsidP="00ED6D76">
      <w:pPr>
        <w:pStyle w:val="ListParagraph"/>
        <w:numPr>
          <w:ilvl w:val="0"/>
          <w:numId w:val="7"/>
        </w:numPr>
        <w:rPr>
          <w:rFonts w:asciiTheme="minorHAnsi" w:hAnsiTheme="minorHAnsi"/>
          <w:sz w:val="24"/>
          <w:szCs w:val="24"/>
        </w:rPr>
      </w:pPr>
      <w:r w:rsidRPr="002B6139">
        <w:rPr>
          <w:rFonts w:asciiTheme="minorHAnsi" w:hAnsiTheme="minorHAnsi"/>
          <w:sz w:val="24"/>
          <w:szCs w:val="24"/>
        </w:rPr>
        <w:lastRenderedPageBreak/>
        <w:t xml:space="preserve">There is </w:t>
      </w:r>
      <w:r w:rsidRPr="002B6139">
        <w:rPr>
          <w:rFonts w:asciiTheme="minorHAnsi" w:hAnsiTheme="minorHAnsi"/>
          <w:b/>
          <w:bCs/>
          <w:sz w:val="24"/>
          <w:szCs w:val="24"/>
        </w:rPr>
        <w:t>no liability for nonfeasance unless it is an omission of a legal duty</w:t>
      </w:r>
      <w:r w:rsidRPr="002B6139">
        <w:rPr>
          <w:rFonts w:asciiTheme="minorHAnsi" w:hAnsiTheme="minorHAnsi"/>
          <w:sz w:val="24"/>
          <w:szCs w:val="24"/>
        </w:rPr>
        <w:t>. (Childs v Desormeaux 2006 SCC)</w:t>
      </w:r>
    </w:p>
    <w:p w14:paraId="1C6CD20C" w14:textId="3158F6B5" w:rsidR="00101306" w:rsidRPr="002B6139" w:rsidRDefault="00101306" w:rsidP="00101306">
      <w:pPr>
        <w:pStyle w:val="ListParagraph"/>
        <w:numPr>
          <w:ilvl w:val="1"/>
          <w:numId w:val="7"/>
        </w:numPr>
        <w:rPr>
          <w:rFonts w:asciiTheme="minorHAnsi" w:hAnsiTheme="minorHAnsi"/>
          <w:sz w:val="24"/>
          <w:szCs w:val="24"/>
        </w:rPr>
      </w:pPr>
      <w:r w:rsidRPr="002B6139">
        <w:rPr>
          <w:rFonts w:asciiTheme="minorHAnsi" w:hAnsiTheme="minorHAnsi"/>
          <w:sz w:val="24"/>
          <w:szCs w:val="24"/>
        </w:rPr>
        <w:t xml:space="preserve">Exceptions: </w:t>
      </w:r>
      <w:r w:rsidR="00850A30">
        <w:rPr>
          <w:rFonts w:asciiTheme="minorHAnsi" w:hAnsiTheme="minorHAnsi"/>
          <w:sz w:val="24"/>
          <w:szCs w:val="24"/>
        </w:rPr>
        <w:t>Paternalistic relationship (applies to all undertakings)</w:t>
      </w:r>
      <w:r w:rsidRPr="002B6139">
        <w:rPr>
          <w:rFonts w:asciiTheme="minorHAnsi" w:hAnsiTheme="minorHAnsi"/>
          <w:sz w:val="24"/>
          <w:szCs w:val="24"/>
        </w:rPr>
        <w:t>,</w:t>
      </w:r>
      <w:r w:rsidR="00850A30">
        <w:rPr>
          <w:rFonts w:asciiTheme="minorHAnsi" w:hAnsiTheme="minorHAnsi"/>
          <w:sz w:val="24"/>
          <w:szCs w:val="24"/>
        </w:rPr>
        <w:t xml:space="preserve"> parent-child,</w:t>
      </w:r>
      <w:r w:rsidRPr="002B6139">
        <w:rPr>
          <w:rFonts w:asciiTheme="minorHAnsi" w:hAnsiTheme="minorHAnsi"/>
          <w:sz w:val="24"/>
          <w:szCs w:val="24"/>
        </w:rPr>
        <w:t xml:space="preserve"> creation of danger, carrying out a public function</w:t>
      </w:r>
    </w:p>
    <w:p w14:paraId="2D6A8EE7" w14:textId="77777777" w:rsidR="00B56C1D" w:rsidRPr="002B6139" w:rsidRDefault="00B56C1D" w:rsidP="00B56C1D">
      <w:pPr>
        <w:pStyle w:val="NormalWeb"/>
        <w:spacing w:before="0" w:beforeAutospacing="0" w:after="0" w:afterAutospacing="0"/>
        <w:rPr>
          <w:rFonts w:asciiTheme="minorHAnsi" w:hAnsiTheme="minorHAnsi"/>
        </w:rPr>
      </w:pPr>
      <w:r w:rsidRPr="002B6139">
        <w:rPr>
          <w:rFonts w:asciiTheme="minorHAnsi" w:hAnsiTheme="minorHAnsi" w:cs="Arial"/>
          <w:b/>
          <w:bCs/>
          <w:i/>
          <w:iCs/>
          <w:color w:val="000000"/>
          <w:u w:val="single"/>
        </w:rPr>
        <w:t>Cooper Test (Originated in Anns, brought into Canada via Kamloops)</w:t>
      </w:r>
    </w:p>
    <w:p w14:paraId="572F132B" w14:textId="4B5A0269" w:rsidR="00B56C1D" w:rsidRPr="002B6139" w:rsidRDefault="00B56C1D" w:rsidP="00B56C1D">
      <w:pPr>
        <w:rPr>
          <w:rFonts w:asciiTheme="minorHAnsi" w:hAnsiTheme="minorHAnsi"/>
          <w:b/>
          <w:bCs/>
          <w:sz w:val="24"/>
          <w:szCs w:val="24"/>
        </w:rPr>
      </w:pPr>
      <w:r w:rsidRPr="002B6139">
        <w:rPr>
          <w:rFonts w:asciiTheme="minorHAnsi" w:hAnsiTheme="minorHAnsi"/>
          <w:b/>
          <w:bCs/>
          <w:sz w:val="24"/>
          <w:szCs w:val="24"/>
        </w:rPr>
        <w:t xml:space="preserve">Stage One: Establishing a </w:t>
      </w:r>
      <w:r w:rsidRPr="002B6139">
        <w:rPr>
          <w:rFonts w:asciiTheme="minorHAnsi" w:hAnsiTheme="minorHAnsi"/>
          <w:b/>
          <w:bCs/>
          <w:i/>
          <w:iCs/>
          <w:sz w:val="24"/>
          <w:szCs w:val="24"/>
        </w:rPr>
        <w:t>prima facie</w:t>
      </w:r>
      <w:r w:rsidRPr="002B6139">
        <w:rPr>
          <w:rFonts w:asciiTheme="minorHAnsi" w:hAnsiTheme="minorHAnsi"/>
          <w:b/>
          <w:bCs/>
          <w:sz w:val="24"/>
          <w:szCs w:val="24"/>
        </w:rPr>
        <w:t xml:space="preserve"> duty of </w:t>
      </w:r>
      <w:r w:rsidR="00101306" w:rsidRPr="002B6139">
        <w:rPr>
          <w:rFonts w:asciiTheme="minorHAnsi" w:hAnsiTheme="minorHAnsi"/>
          <w:b/>
          <w:bCs/>
          <w:sz w:val="24"/>
          <w:szCs w:val="24"/>
        </w:rPr>
        <w:t>care.</w:t>
      </w:r>
      <w:r w:rsidR="00B525CD" w:rsidRPr="002B6139">
        <w:rPr>
          <w:rFonts w:asciiTheme="minorHAnsi" w:hAnsiTheme="minorHAnsi"/>
          <w:b/>
          <w:bCs/>
          <w:sz w:val="24"/>
          <w:szCs w:val="24"/>
        </w:rPr>
        <w:t xml:space="preserve"> </w:t>
      </w:r>
    </w:p>
    <w:p w14:paraId="615E7B94" w14:textId="7B57FC83" w:rsidR="00101306" w:rsidRPr="002B6139" w:rsidRDefault="00101306" w:rsidP="00B56C1D">
      <w:pPr>
        <w:rPr>
          <w:rFonts w:asciiTheme="minorHAnsi" w:hAnsiTheme="minorHAnsi"/>
          <w:b/>
          <w:bCs/>
          <w:sz w:val="24"/>
          <w:szCs w:val="24"/>
        </w:rPr>
      </w:pPr>
      <w:r w:rsidRPr="002B6139">
        <w:rPr>
          <w:rFonts w:asciiTheme="minorHAnsi" w:hAnsiTheme="minorHAnsi"/>
          <w:b/>
          <w:bCs/>
          <w:sz w:val="24"/>
          <w:szCs w:val="24"/>
        </w:rPr>
        <w:t>Stage One Part One: Proximity - Is there a relationship of sufficient proximity between the parties to justify imposing a duty of care on the defendant?</w:t>
      </w:r>
    </w:p>
    <w:p w14:paraId="50DF4C12" w14:textId="0E8EB9C4" w:rsidR="00101306" w:rsidRPr="002B6139" w:rsidRDefault="00101306" w:rsidP="00101306">
      <w:pPr>
        <w:pStyle w:val="ListParagraph"/>
        <w:numPr>
          <w:ilvl w:val="0"/>
          <w:numId w:val="8"/>
        </w:numPr>
        <w:rPr>
          <w:rFonts w:asciiTheme="minorHAnsi" w:hAnsiTheme="minorHAnsi"/>
          <w:sz w:val="24"/>
          <w:szCs w:val="24"/>
        </w:rPr>
      </w:pPr>
      <w:r w:rsidRPr="002B6139">
        <w:rPr>
          <w:rFonts w:asciiTheme="minorHAnsi" w:hAnsiTheme="minorHAnsi"/>
          <w:sz w:val="24"/>
          <w:szCs w:val="24"/>
        </w:rPr>
        <w:t>In other words, is the relationship between the parties sufficiently “close and direct” to establish a relationship of proximity? Are they your neighbour</w:t>
      </w:r>
      <w:r w:rsidR="0075019B" w:rsidRPr="002B6139">
        <w:rPr>
          <w:rFonts w:asciiTheme="minorHAnsi" w:hAnsiTheme="minorHAnsi"/>
          <w:sz w:val="24"/>
          <w:szCs w:val="24"/>
        </w:rPr>
        <w:t>s</w:t>
      </w:r>
      <w:r w:rsidRPr="002B6139">
        <w:rPr>
          <w:rFonts w:asciiTheme="minorHAnsi" w:hAnsiTheme="minorHAnsi"/>
          <w:sz w:val="24"/>
          <w:szCs w:val="24"/>
        </w:rPr>
        <w:t>? (</w:t>
      </w:r>
      <w:r w:rsidRPr="002B6139">
        <w:rPr>
          <w:rFonts w:asciiTheme="minorHAnsi" w:hAnsiTheme="minorHAnsi"/>
          <w:b/>
          <w:bCs/>
          <w:i/>
          <w:iCs/>
          <w:sz w:val="24"/>
          <w:szCs w:val="24"/>
        </w:rPr>
        <w:t>Donoghue v Stevenson</w:t>
      </w:r>
      <w:r w:rsidRPr="002B6139">
        <w:rPr>
          <w:rFonts w:asciiTheme="minorHAnsi" w:hAnsiTheme="minorHAnsi"/>
          <w:sz w:val="24"/>
          <w:szCs w:val="24"/>
        </w:rPr>
        <w:t>)</w:t>
      </w:r>
    </w:p>
    <w:p w14:paraId="21762E13" w14:textId="77777777" w:rsidR="00101306" w:rsidRDefault="00101306" w:rsidP="0075019B">
      <w:pPr>
        <w:pStyle w:val="ListParagraph"/>
        <w:numPr>
          <w:ilvl w:val="1"/>
          <w:numId w:val="8"/>
        </w:numPr>
        <w:rPr>
          <w:rFonts w:asciiTheme="minorHAnsi" w:hAnsiTheme="minorHAnsi"/>
          <w:sz w:val="24"/>
          <w:szCs w:val="24"/>
        </w:rPr>
      </w:pPr>
      <w:r w:rsidRPr="002B6139">
        <w:rPr>
          <w:rFonts w:asciiTheme="minorHAnsi" w:hAnsiTheme="minorHAnsi"/>
          <w:sz w:val="24"/>
          <w:szCs w:val="24"/>
        </w:rPr>
        <w:t>Policy factors pertaining to the relationship between the parties, such as indeterminate liability, are discussed in the proximity analysis (Cooper, Deloitte v Livent 2017 SCC)</w:t>
      </w:r>
    </w:p>
    <w:p w14:paraId="57C5A39A" w14:textId="4C164F4C" w:rsidR="00A23224" w:rsidRPr="002B6139" w:rsidRDefault="00A23224" w:rsidP="00A23224">
      <w:pPr>
        <w:pStyle w:val="ListParagraph"/>
        <w:numPr>
          <w:ilvl w:val="0"/>
          <w:numId w:val="8"/>
        </w:numPr>
        <w:rPr>
          <w:rFonts w:asciiTheme="minorHAnsi" w:hAnsiTheme="minorHAnsi"/>
          <w:sz w:val="24"/>
          <w:szCs w:val="24"/>
        </w:rPr>
      </w:pPr>
      <w:r>
        <w:rPr>
          <w:rFonts w:asciiTheme="minorHAnsi" w:hAnsiTheme="minorHAnsi"/>
          <w:sz w:val="24"/>
          <w:szCs w:val="24"/>
        </w:rPr>
        <w:t xml:space="preserve">Basic distinction: Is this about liability for misfeasance or nonfeasance? If it’s about nonfeasance then you </w:t>
      </w:r>
      <w:proofErr w:type="gramStart"/>
      <w:r>
        <w:rPr>
          <w:rFonts w:asciiTheme="minorHAnsi" w:hAnsiTheme="minorHAnsi"/>
          <w:sz w:val="24"/>
          <w:szCs w:val="24"/>
        </w:rPr>
        <w:t>have to</w:t>
      </w:r>
      <w:proofErr w:type="gramEnd"/>
      <w:r>
        <w:rPr>
          <w:rFonts w:asciiTheme="minorHAnsi" w:hAnsiTheme="minorHAnsi"/>
          <w:sz w:val="24"/>
          <w:szCs w:val="24"/>
        </w:rPr>
        <w:t xml:space="preserve"> prove, based on a pre-existing category or an extension from such, that </w:t>
      </w:r>
      <w:r w:rsidR="009A05DC">
        <w:rPr>
          <w:rFonts w:asciiTheme="minorHAnsi" w:hAnsiTheme="minorHAnsi"/>
          <w:sz w:val="24"/>
          <w:szCs w:val="24"/>
        </w:rPr>
        <w:t>there was a duty between the parties.</w:t>
      </w:r>
    </w:p>
    <w:p w14:paraId="4DD25915" w14:textId="5E30BB4F" w:rsidR="00101306" w:rsidRPr="002B6139" w:rsidRDefault="00101306" w:rsidP="00101306">
      <w:pPr>
        <w:pStyle w:val="ListParagraph"/>
        <w:numPr>
          <w:ilvl w:val="0"/>
          <w:numId w:val="8"/>
        </w:numPr>
        <w:rPr>
          <w:rFonts w:asciiTheme="minorHAnsi" w:hAnsiTheme="minorHAnsi"/>
          <w:sz w:val="24"/>
          <w:szCs w:val="24"/>
        </w:rPr>
      </w:pPr>
      <w:r w:rsidRPr="002B6139">
        <w:rPr>
          <w:rFonts w:asciiTheme="minorHAnsi" w:hAnsiTheme="minorHAnsi"/>
          <w:sz w:val="24"/>
          <w:szCs w:val="24"/>
        </w:rPr>
        <w:t xml:space="preserve">Does the relationship between the parties fall into a pre-existing category where the courts have recognized a duty of care? If so, there is a </w:t>
      </w:r>
      <w:r w:rsidR="0075019B" w:rsidRPr="002B6139">
        <w:rPr>
          <w:rFonts w:asciiTheme="minorHAnsi" w:hAnsiTheme="minorHAnsi"/>
          <w:sz w:val="24"/>
          <w:szCs w:val="24"/>
        </w:rPr>
        <w:t>duty of care</w:t>
      </w:r>
      <w:r w:rsidRPr="002B6139">
        <w:rPr>
          <w:rFonts w:asciiTheme="minorHAnsi" w:hAnsiTheme="minorHAnsi"/>
          <w:sz w:val="24"/>
          <w:szCs w:val="24"/>
        </w:rPr>
        <w:t xml:space="preserve"> between the parties</w:t>
      </w:r>
      <w:r w:rsidR="0075019B" w:rsidRPr="002B6139">
        <w:rPr>
          <w:rFonts w:asciiTheme="minorHAnsi" w:hAnsiTheme="minorHAnsi"/>
          <w:sz w:val="24"/>
          <w:szCs w:val="24"/>
        </w:rPr>
        <w:t>. Proceed to the reasonable foreseeability analysis and omit the residual policy concerns stage, since the court dealt with it when they first recognized the category.</w:t>
      </w:r>
    </w:p>
    <w:p w14:paraId="19B04DBA" w14:textId="77777777" w:rsidR="00101306"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Privity of contract (Winterbottom v Wright 1842 UK)</w:t>
      </w:r>
    </w:p>
    <w:p w14:paraId="0238D257" w14:textId="77777777" w:rsidR="0030728F" w:rsidRPr="002B6139" w:rsidRDefault="0030728F" w:rsidP="0030728F">
      <w:pPr>
        <w:pStyle w:val="ListParagraph"/>
        <w:numPr>
          <w:ilvl w:val="1"/>
          <w:numId w:val="8"/>
        </w:numPr>
        <w:rPr>
          <w:rFonts w:asciiTheme="minorHAnsi" w:hAnsiTheme="minorHAnsi"/>
          <w:sz w:val="24"/>
          <w:szCs w:val="24"/>
        </w:rPr>
      </w:pPr>
      <w:r w:rsidRPr="002B6139">
        <w:rPr>
          <w:rFonts w:asciiTheme="minorHAnsi" w:hAnsiTheme="minorHAnsi"/>
          <w:sz w:val="24"/>
          <w:szCs w:val="24"/>
        </w:rPr>
        <w:t>Foreseeable physical harm to person or property (Donoghue v Stevenson 1932 UKHL)</w:t>
      </w:r>
    </w:p>
    <w:p w14:paraId="58EA0A87" w14:textId="77777777" w:rsidR="0030728F" w:rsidRPr="002B6139" w:rsidRDefault="0030728F" w:rsidP="0030728F">
      <w:pPr>
        <w:pStyle w:val="ListParagraph"/>
        <w:numPr>
          <w:ilvl w:val="2"/>
          <w:numId w:val="8"/>
        </w:numPr>
        <w:rPr>
          <w:rFonts w:asciiTheme="minorHAnsi" w:hAnsiTheme="minorHAnsi"/>
          <w:sz w:val="24"/>
          <w:szCs w:val="24"/>
        </w:rPr>
      </w:pPr>
      <w:r w:rsidRPr="002B6139">
        <w:rPr>
          <w:rFonts w:asciiTheme="minorHAnsi" w:hAnsiTheme="minorHAnsi"/>
          <w:sz w:val="24"/>
          <w:szCs w:val="24"/>
        </w:rPr>
        <w:t>A business will owe a duty of care to a third party injured by the unsafe operation of a stolen vehicle only when, in addition to theft, the unsafe operation of the stolen vehicle was reasonably foreseeable. (Rankin’s Garage 2018 SCC)</w:t>
      </w:r>
    </w:p>
    <w:p w14:paraId="6E74644D" w14:textId="21999C38" w:rsidR="0030728F" w:rsidRDefault="0030728F" w:rsidP="0030728F">
      <w:pPr>
        <w:pStyle w:val="ListParagraph"/>
        <w:numPr>
          <w:ilvl w:val="2"/>
          <w:numId w:val="8"/>
        </w:numPr>
        <w:rPr>
          <w:rFonts w:asciiTheme="minorHAnsi" w:hAnsiTheme="minorHAnsi"/>
          <w:sz w:val="24"/>
          <w:szCs w:val="24"/>
        </w:rPr>
      </w:pPr>
      <w:r w:rsidRPr="002B6139">
        <w:rPr>
          <w:rFonts w:asciiTheme="minorHAnsi" w:hAnsiTheme="minorHAnsi"/>
          <w:sz w:val="24"/>
          <w:szCs w:val="24"/>
        </w:rPr>
        <w:t>Includes nervous shock (Cooper)</w:t>
      </w:r>
    </w:p>
    <w:p w14:paraId="19E3C814" w14:textId="47368CE1" w:rsidR="005B20A2" w:rsidRDefault="005B20A2" w:rsidP="005B20A2">
      <w:pPr>
        <w:pStyle w:val="ListParagraph"/>
        <w:numPr>
          <w:ilvl w:val="1"/>
          <w:numId w:val="8"/>
        </w:numPr>
        <w:rPr>
          <w:rFonts w:asciiTheme="minorHAnsi" w:hAnsiTheme="minorHAnsi"/>
          <w:sz w:val="24"/>
          <w:szCs w:val="24"/>
        </w:rPr>
      </w:pPr>
      <w:r>
        <w:rPr>
          <w:rFonts w:asciiTheme="minorHAnsi" w:hAnsiTheme="minorHAnsi"/>
          <w:sz w:val="24"/>
          <w:szCs w:val="24"/>
        </w:rPr>
        <w:t>Voluntary Undertakings</w:t>
      </w:r>
      <w:r w:rsidR="00413541">
        <w:rPr>
          <w:rFonts w:asciiTheme="minorHAnsi" w:hAnsiTheme="minorHAnsi"/>
          <w:sz w:val="24"/>
          <w:szCs w:val="24"/>
        </w:rPr>
        <w:t xml:space="preserve"> (Includes Negligent misrepresentation and negligent performance of a service)</w:t>
      </w:r>
      <w:r>
        <w:rPr>
          <w:rFonts w:asciiTheme="minorHAnsi" w:hAnsiTheme="minorHAnsi"/>
          <w:sz w:val="24"/>
          <w:szCs w:val="24"/>
        </w:rPr>
        <w:t xml:space="preserve"> </w:t>
      </w:r>
      <w:r w:rsidRPr="005B20A2">
        <w:rPr>
          <w:rFonts w:asciiTheme="minorHAnsi" w:hAnsiTheme="minorHAnsi"/>
          <w:sz w:val="24"/>
          <w:szCs w:val="24"/>
        </w:rPr>
        <w:t>(Hedley Byrne v Heller 1964 UKHL</w:t>
      </w:r>
      <w:r>
        <w:rPr>
          <w:rFonts w:asciiTheme="minorHAnsi" w:hAnsiTheme="minorHAnsi"/>
          <w:sz w:val="24"/>
          <w:szCs w:val="24"/>
        </w:rPr>
        <w:t>, Henderson 1994 UKHL)</w:t>
      </w:r>
    </w:p>
    <w:p w14:paraId="6C14CD3E" w14:textId="5EC4DA04" w:rsidR="005B20A2" w:rsidRDefault="00946574" w:rsidP="005B20A2">
      <w:pPr>
        <w:pStyle w:val="ListParagraph"/>
        <w:numPr>
          <w:ilvl w:val="2"/>
          <w:numId w:val="8"/>
        </w:numPr>
        <w:rPr>
          <w:rFonts w:asciiTheme="minorHAnsi" w:hAnsiTheme="minorHAnsi"/>
          <w:sz w:val="24"/>
          <w:szCs w:val="24"/>
        </w:rPr>
      </w:pPr>
      <w:r>
        <w:rPr>
          <w:rFonts w:asciiTheme="minorHAnsi" w:hAnsiTheme="minorHAnsi"/>
          <w:sz w:val="24"/>
          <w:szCs w:val="24"/>
        </w:rPr>
        <w:t>Hedley Byrne stands for the fundamental principle that:</w:t>
      </w:r>
    </w:p>
    <w:p w14:paraId="522EF8AD" w14:textId="016C7498" w:rsidR="00946574" w:rsidRPr="00E65AE9" w:rsidRDefault="00E65AE9" w:rsidP="005B20A2">
      <w:pPr>
        <w:pStyle w:val="ListParagraph"/>
        <w:numPr>
          <w:ilvl w:val="2"/>
          <w:numId w:val="8"/>
        </w:numPr>
        <w:rPr>
          <w:rFonts w:asciiTheme="minorHAnsi" w:hAnsiTheme="minorHAnsi"/>
          <w:sz w:val="24"/>
          <w:szCs w:val="24"/>
        </w:rPr>
      </w:pPr>
      <w:r w:rsidRPr="00E65AE9">
        <w:rPr>
          <w:rFonts w:asciiTheme="minorHAnsi" w:hAnsiTheme="minorHAnsi"/>
          <w:sz w:val="24"/>
          <w:szCs w:val="24"/>
          <w:lang w:val="en-US"/>
        </w:rPr>
        <w:t xml:space="preserve">Fundamental principle: Where one party assumes or undertakes a responsibility to do something for the other party, and the other party reasonably relies upon that undertaking, and the responsible party knows of that reliance, the responsible party owes the other party a </w:t>
      </w:r>
      <w:r w:rsidRPr="00E65AE9">
        <w:rPr>
          <w:rFonts w:asciiTheme="minorHAnsi" w:hAnsiTheme="minorHAnsi"/>
          <w:sz w:val="24"/>
          <w:szCs w:val="24"/>
          <w:lang w:val="en-US"/>
        </w:rPr>
        <w:lastRenderedPageBreak/>
        <w:t>duty to exercise due skill and care in undertaking that responsibility.</w:t>
      </w:r>
      <w:r>
        <w:rPr>
          <w:rFonts w:asciiTheme="minorHAnsi" w:hAnsiTheme="minorHAnsi"/>
          <w:sz w:val="24"/>
          <w:szCs w:val="24"/>
          <w:lang w:val="en-US"/>
        </w:rPr>
        <w:t xml:space="preserve"> (Henderson 1994 UKHL)</w:t>
      </w:r>
    </w:p>
    <w:p w14:paraId="51EBA046" w14:textId="77777777" w:rsidR="00E65AE9" w:rsidRPr="00E65AE9" w:rsidRDefault="00E65AE9" w:rsidP="00E65AE9">
      <w:pPr>
        <w:pStyle w:val="ListParagraph"/>
        <w:numPr>
          <w:ilvl w:val="2"/>
          <w:numId w:val="8"/>
        </w:numPr>
        <w:rPr>
          <w:rFonts w:asciiTheme="minorHAnsi" w:hAnsiTheme="minorHAnsi"/>
          <w:sz w:val="24"/>
          <w:szCs w:val="24"/>
        </w:rPr>
      </w:pPr>
      <w:r w:rsidRPr="00E65AE9">
        <w:rPr>
          <w:rFonts w:asciiTheme="minorHAnsi" w:hAnsiTheme="minorHAnsi"/>
          <w:sz w:val="24"/>
          <w:szCs w:val="24"/>
          <w:lang w:val="en-US"/>
        </w:rPr>
        <w:t>Special relationships may apply to third-party beneficiaries of contractual relationships, or those who are effectively third-party beneficiaries. (Glanzer NYCA 1921 Cardozo)</w:t>
      </w:r>
    </w:p>
    <w:p w14:paraId="57706F53" w14:textId="77777777" w:rsidR="00E65AE9" w:rsidRPr="00E65AE9" w:rsidRDefault="00E65AE9" w:rsidP="00E65AE9">
      <w:pPr>
        <w:pStyle w:val="ListParagraph"/>
        <w:numPr>
          <w:ilvl w:val="2"/>
          <w:numId w:val="8"/>
        </w:numPr>
        <w:rPr>
          <w:rFonts w:asciiTheme="minorHAnsi" w:hAnsiTheme="minorHAnsi"/>
          <w:sz w:val="24"/>
          <w:szCs w:val="24"/>
        </w:rPr>
      </w:pPr>
      <w:r w:rsidRPr="00E65AE9">
        <w:rPr>
          <w:rFonts w:asciiTheme="minorHAnsi" w:hAnsiTheme="minorHAnsi"/>
          <w:sz w:val="24"/>
          <w:szCs w:val="24"/>
          <w:lang w:val="en-US"/>
        </w:rPr>
        <w:t xml:space="preserve">Must be a definite third-party, not an indeterminate class of </w:t>
      </w:r>
      <w:proofErr w:type="gramStart"/>
      <w:r w:rsidRPr="00E65AE9">
        <w:rPr>
          <w:rFonts w:asciiTheme="minorHAnsi" w:hAnsiTheme="minorHAnsi"/>
          <w:sz w:val="24"/>
          <w:szCs w:val="24"/>
          <w:lang w:val="en-US"/>
        </w:rPr>
        <w:t>persons</w:t>
      </w:r>
      <w:proofErr w:type="gramEnd"/>
      <w:r w:rsidRPr="00E65AE9">
        <w:rPr>
          <w:rFonts w:asciiTheme="minorHAnsi" w:hAnsiTheme="minorHAnsi"/>
          <w:sz w:val="24"/>
          <w:szCs w:val="24"/>
          <w:lang w:val="en-US"/>
        </w:rPr>
        <w:t>. (</w:t>
      </w:r>
      <w:proofErr w:type="spellStart"/>
      <w:r w:rsidRPr="00E65AE9">
        <w:rPr>
          <w:rFonts w:asciiTheme="minorHAnsi" w:hAnsiTheme="minorHAnsi"/>
          <w:sz w:val="24"/>
          <w:szCs w:val="24"/>
          <w:lang w:val="en-US"/>
        </w:rPr>
        <w:t>Ultramares</w:t>
      </w:r>
      <w:proofErr w:type="spellEnd"/>
      <w:r w:rsidRPr="00E65AE9">
        <w:rPr>
          <w:rFonts w:asciiTheme="minorHAnsi" w:hAnsiTheme="minorHAnsi"/>
          <w:sz w:val="24"/>
          <w:szCs w:val="24"/>
          <w:lang w:val="en-US"/>
        </w:rPr>
        <w:t xml:space="preserve"> NYCA 1931 Cardozo)</w:t>
      </w:r>
    </w:p>
    <w:p w14:paraId="5C2B3F01" w14:textId="2F1B5F13" w:rsidR="00E65AE9" w:rsidRPr="00E65AE9" w:rsidRDefault="00E65AE9" w:rsidP="00E65AE9">
      <w:pPr>
        <w:pStyle w:val="ListParagraph"/>
        <w:numPr>
          <w:ilvl w:val="2"/>
          <w:numId w:val="8"/>
        </w:numPr>
        <w:rPr>
          <w:rFonts w:asciiTheme="minorHAnsi" w:hAnsiTheme="minorHAnsi"/>
          <w:sz w:val="24"/>
          <w:szCs w:val="24"/>
        </w:rPr>
      </w:pPr>
      <w:r w:rsidRPr="00E65AE9">
        <w:rPr>
          <w:rFonts w:asciiTheme="minorHAnsi" w:hAnsiTheme="minorHAnsi"/>
          <w:sz w:val="24"/>
          <w:szCs w:val="24"/>
          <w:lang w:val="en-US"/>
        </w:rPr>
        <w:t>One who assumes to act, even though gratuitously, may thereby become subject to the duty of acting carefully, if he acts at all. (Glanzer NYCA 1921 Cardozo)</w:t>
      </w:r>
    </w:p>
    <w:p w14:paraId="1BA29CE8" w14:textId="1D1F4D5C" w:rsidR="00101306" w:rsidRDefault="008F2C1E" w:rsidP="00101306">
      <w:pPr>
        <w:pStyle w:val="ListParagraph"/>
        <w:numPr>
          <w:ilvl w:val="1"/>
          <w:numId w:val="8"/>
        </w:numPr>
        <w:rPr>
          <w:rFonts w:asciiTheme="minorHAnsi" w:hAnsiTheme="minorHAnsi"/>
          <w:sz w:val="24"/>
          <w:szCs w:val="24"/>
        </w:rPr>
      </w:pPr>
      <w:r>
        <w:rPr>
          <w:rFonts w:asciiTheme="minorHAnsi" w:hAnsiTheme="minorHAnsi"/>
          <w:sz w:val="24"/>
          <w:szCs w:val="24"/>
        </w:rPr>
        <w:t>Negligent Misrepresentation</w:t>
      </w:r>
      <w:r w:rsidR="00101306" w:rsidRPr="002B6139">
        <w:rPr>
          <w:rFonts w:asciiTheme="minorHAnsi" w:hAnsiTheme="minorHAnsi"/>
          <w:sz w:val="24"/>
          <w:szCs w:val="24"/>
        </w:rPr>
        <w:t xml:space="preserve"> (Hedley Byrne v Heller 1964 UKHL)</w:t>
      </w:r>
    </w:p>
    <w:p w14:paraId="6416A5B5" w14:textId="67011C60" w:rsidR="00B96952" w:rsidRDefault="00B96952" w:rsidP="00B96952">
      <w:pPr>
        <w:pStyle w:val="ListParagraph"/>
        <w:numPr>
          <w:ilvl w:val="2"/>
          <w:numId w:val="8"/>
        </w:numPr>
        <w:spacing w:line="240" w:lineRule="auto"/>
        <w:rPr>
          <w:sz w:val="24"/>
          <w:szCs w:val="24"/>
        </w:rPr>
      </w:pPr>
      <w:r>
        <w:rPr>
          <w:sz w:val="24"/>
          <w:szCs w:val="24"/>
        </w:rPr>
        <w:t xml:space="preserve">Special relationship test: A duty of care for a </w:t>
      </w:r>
      <w:r w:rsidR="005B20A2">
        <w:rPr>
          <w:sz w:val="24"/>
          <w:szCs w:val="24"/>
        </w:rPr>
        <w:t>representation arises when</w:t>
      </w:r>
      <w:r>
        <w:rPr>
          <w:sz w:val="24"/>
          <w:szCs w:val="24"/>
        </w:rPr>
        <w:t>:</w:t>
      </w:r>
    </w:p>
    <w:p w14:paraId="53DFF019" w14:textId="77777777" w:rsidR="00B96952" w:rsidRDefault="00B96952" w:rsidP="00B96952">
      <w:pPr>
        <w:pStyle w:val="ListParagraph"/>
        <w:numPr>
          <w:ilvl w:val="3"/>
          <w:numId w:val="8"/>
        </w:numPr>
        <w:spacing w:line="240" w:lineRule="auto"/>
        <w:rPr>
          <w:sz w:val="24"/>
          <w:szCs w:val="24"/>
        </w:rPr>
      </w:pPr>
      <w:r>
        <w:rPr>
          <w:sz w:val="24"/>
          <w:szCs w:val="24"/>
        </w:rPr>
        <w:t xml:space="preserve">(a) viewed objectively, </w:t>
      </w:r>
      <w:r w:rsidRPr="00463FF0">
        <w:rPr>
          <w:sz w:val="24"/>
          <w:szCs w:val="24"/>
        </w:rPr>
        <w:t>the party seeking information or advice</w:t>
      </w:r>
      <w:r>
        <w:rPr>
          <w:sz w:val="24"/>
          <w:szCs w:val="24"/>
        </w:rPr>
        <w:t xml:space="preserve"> places</w:t>
      </w:r>
      <w:r w:rsidRPr="00463FF0">
        <w:rPr>
          <w:sz w:val="24"/>
          <w:szCs w:val="24"/>
        </w:rPr>
        <w:t xml:space="preserve"> </w:t>
      </w:r>
      <w:r>
        <w:rPr>
          <w:sz w:val="24"/>
          <w:szCs w:val="24"/>
        </w:rPr>
        <w:t>trust and reliance upon</w:t>
      </w:r>
      <w:r w:rsidRPr="00463FF0">
        <w:rPr>
          <w:sz w:val="24"/>
          <w:szCs w:val="24"/>
        </w:rPr>
        <w:t xml:space="preserve"> the other </w:t>
      </w:r>
      <w:r>
        <w:rPr>
          <w:sz w:val="24"/>
          <w:szCs w:val="24"/>
        </w:rPr>
        <w:t xml:space="preserve">party </w:t>
      </w:r>
      <w:r w:rsidRPr="00463FF0">
        <w:rPr>
          <w:sz w:val="24"/>
          <w:szCs w:val="24"/>
        </w:rPr>
        <w:t xml:space="preserve">to exercise </w:t>
      </w:r>
      <w:r>
        <w:rPr>
          <w:sz w:val="24"/>
          <w:szCs w:val="24"/>
        </w:rPr>
        <w:t>reasonable care in</w:t>
      </w:r>
      <w:r w:rsidRPr="00463FF0">
        <w:rPr>
          <w:sz w:val="24"/>
          <w:szCs w:val="24"/>
        </w:rPr>
        <w:t xml:space="preserve"> circumstances required, </w:t>
      </w:r>
    </w:p>
    <w:p w14:paraId="510AE16C" w14:textId="77777777" w:rsidR="00B96952" w:rsidRDefault="00B96952" w:rsidP="00B96952">
      <w:pPr>
        <w:pStyle w:val="ListParagraph"/>
        <w:numPr>
          <w:ilvl w:val="3"/>
          <w:numId w:val="8"/>
        </w:numPr>
        <w:spacing w:line="240" w:lineRule="auto"/>
        <w:rPr>
          <w:sz w:val="24"/>
          <w:szCs w:val="24"/>
        </w:rPr>
      </w:pPr>
      <w:r>
        <w:rPr>
          <w:sz w:val="24"/>
          <w:szCs w:val="24"/>
        </w:rPr>
        <w:t>(b) where that trust and reliance is reasonable in the circumstances</w:t>
      </w:r>
      <w:r w:rsidRPr="00463FF0">
        <w:rPr>
          <w:sz w:val="24"/>
          <w:szCs w:val="24"/>
        </w:rPr>
        <w:t xml:space="preserve">, </w:t>
      </w:r>
    </w:p>
    <w:p w14:paraId="61077F87" w14:textId="241405F0" w:rsidR="00E65AE9" w:rsidRDefault="00E65AE9" w:rsidP="00E65AE9">
      <w:pPr>
        <w:pStyle w:val="ListParagraph"/>
        <w:numPr>
          <w:ilvl w:val="4"/>
          <w:numId w:val="8"/>
        </w:numPr>
        <w:rPr>
          <w:rFonts w:asciiTheme="minorHAnsi" w:hAnsiTheme="minorHAnsi"/>
          <w:sz w:val="24"/>
          <w:szCs w:val="24"/>
        </w:rPr>
      </w:pPr>
      <w:r>
        <w:rPr>
          <w:rFonts w:asciiTheme="minorHAnsi" w:hAnsiTheme="minorHAnsi"/>
          <w:sz w:val="24"/>
          <w:szCs w:val="24"/>
        </w:rPr>
        <w:t>Example</w:t>
      </w:r>
      <w:r w:rsidR="003F16FC">
        <w:rPr>
          <w:rFonts w:asciiTheme="minorHAnsi" w:hAnsiTheme="minorHAnsi"/>
          <w:sz w:val="24"/>
          <w:szCs w:val="24"/>
        </w:rPr>
        <w:t xml:space="preserve"> where it is unreasonable: </w:t>
      </w:r>
      <w:r>
        <w:rPr>
          <w:rFonts w:asciiTheme="minorHAnsi" w:hAnsiTheme="minorHAnsi"/>
          <w:sz w:val="24"/>
          <w:szCs w:val="24"/>
        </w:rPr>
        <w:t>The representee’s t</w:t>
      </w:r>
      <w:r w:rsidRPr="00305BD8">
        <w:rPr>
          <w:rFonts w:asciiTheme="minorHAnsi" w:hAnsiTheme="minorHAnsi"/>
          <w:sz w:val="24"/>
          <w:szCs w:val="24"/>
        </w:rPr>
        <w:t>rust and reliance</w:t>
      </w:r>
      <w:r>
        <w:rPr>
          <w:rFonts w:asciiTheme="minorHAnsi" w:hAnsiTheme="minorHAnsi"/>
          <w:sz w:val="24"/>
          <w:szCs w:val="24"/>
        </w:rPr>
        <w:t xml:space="preserve"> in the representor’s careless representation</w:t>
      </w:r>
      <w:r w:rsidRPr="00305BD8">
        <w:rPr>
          <w:rFonts w:asciiTheme="minorHAnsi" w:hAnsiTheme="minorHAnsi"/>
          <w:sz w:val="24"/>
          <w:szCs w:val="24"/>
        </w:rPr>
        <w:t xml:space="preserve"> is not reasonable where the representation is about a fact wholly within the knowledge of the representee.</w:t>
      </w:r>
      <w:r>
        <w:rPr>
          <w:rFonts w:asciiTheme="minorHAnsi" w:hAnsiTheme="minorHAnsi"/>
          <w:sz w:val="24"/>
          <w:szCs w:val="24"/>
        </w:rPr>
        <w:t xml:space="preserve"> (Steel v NRAM 2017 UKSC)</w:t>
      </w:r>
    </w:p>
    <w:p w14:paraId="69DFB121" w14:textId="58CC6DE5" w:rsidR="00E65AE9" w:rsidRPr="00E65AE9" w:rsidRDefault="00E65AE9" w:rsidP="00E65AE9">
      <w:pPr>
        <w:pStyle w:val="ListParagraph"/>
        <w:numPr>
          <w:ilvl w:val="4"/>
          <w:numId w:val="8"/>
        </w:numPr>
        <w:rPr>
          <w:rFonts w:asciiTheme="minorHAnsi" w:hAnsiTheme="minorHAnsi"/>
          <w:sz w:val="24"/>
          <w:szCs w:val="24"/>
        </w:rPr>
      </w:pPr>
      <w:r>
        <w:rPr>
          <w:rFonts w:asciiTheme="minorHAnsi" w:hAnsiTheme="minorHAnsi"/>
          <w:sz w:val="24"/>
          <w:szCs w:val="24"/>
        </w:rPr>
        <w:t xml:space="preserve">Steel v NRAM contrasts with Grand Restaurants but they are consistent due to the different relationships involved. NRAM is lender-borrower whereas Grand Restaurants is government-citizen. According to the courts, </w:t>
      </w:r>
      <w:proofErr w:type="gramStart"/>
      <w:r>
        <w:rPr>
          <w:rFonts w:asciiTheme="minorHAnsi" w:hAnsiTheme="minorHAnsi"/>
          <w:sz w:val="24"/>
          <w:szCs w:val="24"/>
        </w:rPr>
        <w:t>its</w:t>
      </w:r>
      <w:proofErr w:type="gramEnd"/>
      <w:r>
        <w:rPr>
          <w:rFonts w:asciiTheme="minorHAnsi" w:hAnsiTheme="minorHAnsi"/>
          <w:sz w:val="24"/>
          <w:szCs w:val="24"/>
        </w:rPr>
        <w:t xml:space="preserve"> reasonable to trust and rely on the </w:t>
      </w:r>
      <w:proofErr w:type="gramStart"/>
      <w:r>
        <w:rPr>
          <w:rFonts w:asciiTheme="minorHAnsi" w:hAnsiTheme="minorHAnsi"/>
          <w:sz w:val="24"/>
          <w:szCs w:val="24"/>
        </w:rPr>
        <w:t>gov’ts</w:t>
      </w:r>
      <w:proofErr w:type="gramEnd"/>
      <w:r>
        <w:rPr>
          <w:rFonts w:asciiTheme="minorHAnsi" w:hAnsiTheme="minorHAnsi"/>
          <w:sz w:val="24"/>
          <w:szCs w:val="24"/>
        </w:rPr>
        <w:t xml:space="preserve"> official statements.</w:t>
      </w:r>
    </w:p>
    <w:p w14:paraId="2976CD1E" w14:textId="77777777" w:rsidR="00B96952" w:rsidRDefault="00B96952" w:rsidP="00B96952">
      <w:pPr>
        <w:pStyle w:val="ListParagraph"/>
        <w:numPr>
          <w:ilvl w:val="3"/>
          <w:numId w:val="8"/>
        </w:numPr>
        <w:spacing w:line="240" w:lineRule="auto"/>
        <w:rPr>
          <w:sz w:val="24"/>
          <w:szCs w:val="24"/>
        </w:rPr>
      </w:pPr>
      <w:r>
        <w:rPr>
          <w:sz w:val="24"/>
          <w:szCs w:val="24"/>
        </w:rPr>
        <w:t xml:space="preserve">(c) </w:t>
      </w:r>
      <w:r w:rsidRPr="00463FF0">
        <w:rPr>
          <w:sz w:val="24"/>
          <w:szCs w:val="24"/>
        </w:rPr>
        <w:t xml:space="preserve">and where the other gave the information or advice </w:t>
      </w:r>
      <w:r>
        <w:rPr>
          <w:sz w:val="24"/>
          <w:szCs w:val="24"/>
        </w:rPr>
        <w:t>with actual or constructive knowledge of that trust and reliance.</w:t>
      </w:r>
    </w:p>
    <w:p w14:paraId="4DA7CC6B" w14:textId="77777777" w:rsidR="00B96952" w:rsidRDefault="00B96952" w:rsidP="00B96952">
      <w:pPr>
        <w:pStyle w:val="ListParagraph"/>
        <w:numPr>
          <w:ilvl w:val="3"/>
          <w:numId w:val="8"/>
        </w:numPr>
        <w:spacing w:line="240" w:lineRule="auto"/>
        <w:rPr>
          <w:sz w:val="24"/>
          <w:szCs w:val="24"/>
        </w:rPr>
      </w:pPr>
      <w:r>
        <w:rPr>
          <w:sz w:val="24"/>
          <w:szCs w:val="24"/>
        </w:rPr>
        <w:t>All these requirements can be satisfied expressly or implicitly.</w:t>
      </w:r>
    </w:p>
    <w:p w14:paraId="2B4454A4" w14:textId="490433AA" w:rsidR="00A951C8" w:rsidRPr="003F16FC" w:rsidRDefault="00A951C8" w:rsidP="00B96952">
      <w:pPr>
        <w:pStyle w:val="ListParagraph"/>
        <w:numPr>
          <w:ilvl w:val="3"/>
          <w:numId w:val="8"/>
        </w:numPr>
        <w:spacing w:line="240" w:lineRule="auto"/>
        <w:rPr>
          <w:sz w:val="24"/>
          <w:szCs w:val="24"/>
        </w:rPr>
      </w:pPr>
      <w:r>
        <w:rPr>
          <w:sz w:val="24"/>
          <w:szCs w:val="24"/>
        </w:rPr>
        <w:t xml:space="preserve">All the above are necessary. </w:t>
      </w:r>
      <w:r w:rsidR="00BB7C58" w:rsidRPr="00BB7C58">
        <w:rPr>
          <w:sz w:val="24"/>
          <w:szCs w:val="24"/>
        </w:rPr>
        <w:t>Neither foreseeable and reasonable reliance by representee nor voluntary assumption of responsibility by representor are the determinative criterion for establishing a special relationship</w:t>
      </w:r>
      <w:r w:rsidR="00BB7C58">
        <w:rPr>
          <w:sz w:val="24"/>
          <w:szCs w:val="24"/>
        </w:rPr>
        <w:t xml:space="preserve">. </w:t>
      </w:r>
      <w:r w:rsidR="00BB7C58" w:rsidRPr="00BB7C58">
        <w:rPr>
          <w:sz w:val="24"/>
          <w:szCs w:val="24"/>
          <w:lang w:val="en-US"/>
        </w:rPr>
        <w:t>(Cognos 1993 SCC)</w:t>
      </w:r>
    </w:p>
    <w:p w14:paraId="5EB5D343" w14:textId="77777777" w:rsidR="003F16FC" w:rsidRDefault="003F16FC" w:rsidP="003F16FC">
      <w:pPr>
        <w:pStyle w:val="ListParagraph"/>
        <w:numPr>
          <w:ilvl w:val="2"/>
          <w:numId w:val="8"/>
        </w:numPr>
        <w:rPr>
          <w:rFonts w:asciiTheme="minorHAnsi" w:hAnsiTheme="minorHAnsi"/>
          <w:sz w:val="24"/>
          <w:szCs w:val="24"/>
        </w:rPr>
      </w:pPr>
      <w:r>
        <w:rPr>
          <w:rFonts w:asciiTheme="minorHAnsi" w:hAnsiTheme="minorHAnsi"/>
          <w:sz w:val="24"/>
          <w:szCs w:val="24"/>
        </w:rPr>
        <w:t>Typical examples of special relationships:</w:t>
      </w:r>
    </w:p>
    <w:p w14:paraId="00768BEF" w14:textId="77777777" w:rsidR="003F16FC" w:rsidRDefault="003F16FC" w:rsidP="003F16FC">
      <w:pPr>
        <w:pStyle w:val="ListParagraph"/>
        <w:numPr>
          <w:ilvl w:val="3"/>
          <w:numId w:val="8"/>
        </w:numPr>
        <w:rPr>
          <w:rFonts w:asciiTheme="minorHAnsi" w:hAnsiTheme="minorHAnsi"/>
          <w:sz w:val="24"/>
          <w:szCs w:val="24"/>
        </w:rPr>
      </w:pPr>
      <w:r>
        <w:rPr>
          <w:rFonts w:asciiTheme="minorHAnsi" w:hAnsiTheme="minorHAnsi"/>
          <w:sz w:val="24"/>
          <w:szCs w:val="24"/>
        </w:rPr>
        <w:t>Doctor-patient</w:t>
      </w:r>
    </w:p>
    <w:p w14:paraId="5EE2F417" w14:textId="77777777" w:rsidR="003F16FC" w:rsidRDefault="003F16FC" w:rsidP="003F16FC">
      <w:pPr>
        <w:pStyle w:val="ListParagraph"/>
        <w:numPr>
          <w:ilvl w:val="3"/>
          <w:numId w:val="8"/>
        </w:numPr>
        <w:rPr>
          <w:rFonts w:asciiTheme="minorHAnsi" w:hAnsiTheme="minorHAnsi"/>
          <w:sz w:val="24"/>
          <w:szCs w:val="24"/>
        </w:rPr>
      </w:pPr>
      <w:r>
        <w:rPr>
          <w:rFonts w:asciiTheme="minorHAnsi" w:hAnsiTheme="minorHAnsi"/>
          <w:sz w:val="24"/>
          <w:szCs w:val="24"/>
        </w:rPr>
        <w:t>Lawyer-client</w:t>
      </w:r>
    </w:p>
    <w:p w14:paraId="43BAECE6" w14:textId="77777777" w:rsidR="003F16FC" w:rsidRDefault="003F16FC" w:rsidP="003F16FC">
      <w:pPr>
        <w:pStyle w:val="ListParagraph"/>
        <w:numPr>
          <w:ilvl w:val="3"/>
          <w:numId w:val="8"/>
        </w:numPr>
        <w:rPr>
          <w:rFonts w:asciiTheme="minorHAnsi" w:hAnsiTheme="minorHAnsi"/>
          <w:sz w:val="24"/>
          <w:szCs w:val="24"/>
        </w:rPr>
      </w:pPr>
      <w:r>
        <w:rPr>
          <w:rFonts w:asciiTheme="minorHAnsi" w:hAnsiTheme="minorHAnsi"/>
          <w:sz w:val="24"/>
          <w:szCs w:val="24"/>
        </w:rPr>
        <w:t>Banker-client</w:t>
      </w:r>
    </w:p>
    <w:p w14:paraId="3473EF73" w14:textId="3EDE7BBA" w:rsidR="003F16FC" w:rsidRPr="003F16FC" w:rsidRDefault="003F16FC" w:rsidP="003F16FC">
      <w:pPr>
        <w:pStyle w:val="ListParagraph"/>
        <w:numPr>
          <w:ilvl w:val="3"/>
          <w:numId w:val="8"/>
        </w:numPr>
        <w:rPr>
          <w:rFonts w:asciiTheme="minorHAnsi" w:hAnsiTheme="minorHAnsi"/>
          <w:sz w:val="24"/>
          <w:szCs w:val="24"/>
        </w:rPr>
      </w:pPr>
      <w:r>
        <w:rPr>
          <w:rFonts w:asciiTheme="minorHAnsi" w:hAnsiTheme="minorHAnsi"/>
          <w:sz w:val="24"/>
          <w:szCs w:val="24"/>
        </w:rPr>
        <w:t>Auditor-client</w:t>
      </w:r>
    </w:p>
    <w:p w14:paraId="0CE32A23" w14:textId="37939092" w:rsidR="003F16FC" w:rsidRDefault="003F16FC" w:rsidP="000B78B7">
      <w:pPr>
        <w:pStyle w:val="ListParagraph"/>
        <w:numPr>
          <w:ilvl w:val="2"/>
          <w:numId w:val="8"/>
        </w:numPr>
        <w:spacing w:line="240" w:lineRule="auto"/>
        <w:rPr>
          <w:sz w:val="24"/>
          <w:szCs w:val="24"/>
        </w:rPr>
      </w:pPr>
      <w:r>
        <w:rPr>
          <w:sz w:val="24"/>
          <w:szCs w:val="24"/>
        </w:rPr>
        <w:lastRenderedPageBreak/>
        <w:t>General Notes:</w:t>
      </w:r>
    </w:p>
    <w:p w14:paraId="5A031AFC" w14:textId="6F79478D" w:rsidR="000B78B7" w:rsidRPr="003F16FC" w:rsidRDefault="000B78B7" w:rsidP="003F16FC">
      <w:pPr>
        <w:pStyle w:val="ListParagraph"/>
        <w:numPr>
          <w:ilvl w:val="3"/>
          <w:numId w:val="8"/>
        </w:numPr>
        <w:spacing w:line="240" w:lineRule="auto"/>
        <w:rPr>
          <w:sz w:val="24"/>
          <w:szCs w:val="24"/>
        </w:rPr>
      </w:pPr>
      <w:r w:rsidRPr="003F16FC">
        <w:rPr>
          <w:sz w:val="24"/>
          <w:szCs w:val="24"/>
        </w:rPr>
        <w:t xml:space="preserve">Special relationships are not confined </w:t>
      </w:r>
      <w:r w:rsidR="005557A3" w:rsidRPr="003F16FC">
        <w:rPr>
          <w:sz w:val="24"/>
          <w:szCs w:val="24"/>
          <w:lang w:val="en-US"/>
        </w:rPr>
        <w:t>to professionals in the business of providing information and advice. (Cognos 1993 SCC)</w:t>
      </w:r>
    </w:p>
    <w:p w14:paraId="0180771C" w14:textId="77777777" w:rsidR="003F16FC" w:rsidRPr="00A4140A" w:rsidRDefault="003F16FC" w:rsidP="003F16FC">
      <w:pPr>
        <w:pStyle w:val="ListParagraph"/>
        <w:numPr>
          <w:ilvl w:val="3"/>
          <w:numId w:val="8"/>
        </w:numPr>
        <w:rPr>
          <w:rFonts w:asciiTheme="minorHAnsi" w:hAnsiTheme="minorHAnsi"/>
          <w:sz w:val="24"/>
          <w:szCs w:val="24"/>
        </w:rPr>
      </w:pPr>
      <w:r w:rsidRPr="00C41C38">
        <w:rPr>
          <w:rFonts w:asciiTheme="minorHAnsi" w:hAnsiTheme="minorHAnsi"/>
          <w:sz w:val="24"/>
          <w:szCs w:val="24"/>
          <w:lang w:val="en-US"/>
        </w:rPr>
        <w:t>Special relationships may apply to third-party beneficiaries of contractual relationships</w:t>
      </w:r>
      <w:r>
        <w:rPr>
          <w:rFonts w:asciiTheme="minorHAnsi" w:hAnsiTheme="minorHAnsi"/>
          <w:sz w:val="24"/>
          <w:szCs w:val="24"/>
          <w:lang w:val="en-US"/>
        </w:rPr>
        <w:t>, or those who are effectively third-party beneficiaries. (Glanzer NYCA 1921 Cardozo)</w:t>
      </w:r>
    </w:p>
    <w:p w14:paraId="386620E0" w14:textId="77777777" w:rsidR="003F16FC" w:rsidRPr="00C41C38" w:rsidRDefault="003F16FC" w:rsidP="003F16FC">
      <w:pPr>
        <w:pStyle w:val="ListParagraph"/>
        <w:numPr>
          <w:ilvl w:val="4"/>
          <w:numId w:val="8"/>
        </w:numPr>
        <w:rPr>
          <w:rFonts w:asciiTheme="minorHAnsi" w:hAnsiTheme="minorHAnsi"/>
          <w:sz w:val="24"/>
          <w:szCs w:val="24"/>
        </w:rPr>
      </w:pPr>
      <w:r>
        <w:rPr>
          <w:rFonts w:asciiTheme="minorHAnsi" w:hAnsiTheme="minorHAnsi"/>
          <w:sz w:val="24"/>
          <w:szCs w:val="24"/>
          <w:lang w:val="en-US"/>
        </w:rPr>
        <w:t xml:space="preserve">Must be a definite third-party, not an indeterminate class of </w:t>
      </w:r>
      <w:proofErr w:type="gramStart"/>
      <w:r>
        <w:rPr>
          <w:rFonts w:asciiTheme="minorHAnsi" w:hAnsiTheme="minorHAnsi"/>
          <w:sz w:val="24"/>
          <w:szCs w:val="24"/>
          <w:lang w:val="en-US"/>
        </w:rPr>
        <w:t>persons</w:t>
      </w:r>
      <w:proofErr w:type="gramEnd"/>
      <w:r>
        <w:rPr>
          <w:rFonts w:asciiTheme="minorHAnsi" w:hAnsiTheme="minorHAnsi"/>
          <w:sz w:val="24"/>
          <w:szCs w:val="24"/>
          <w:lang w:val="en-US"/>
        </w:rPr>
        <w:t>. (</w:t>
      </w:r>
      <w:proofErr w:type="spellStart"/>
      <w:r>
        <w:rPr>
          <w:rFonts w:asciiTheme="minorHAnsi" w:hAnsiTheme="minorHAnsi"/>
          <w:sz w:val="24"/>
          <w:szCs w:val="24"/>
          <w:lang w:val="en-US"/>
        </w:rPr>
        <w:t>Ultramares</w:t>
      </w:r>
      <w:proofErr w:type="spellEnd"/>
      <w:r>
        <w:rPr>
          <w:rFonts w:asciiTheme="minorHAnsi" w:hAnsiTheme="minorHAnsi"/>
          <w:sz w:val="24"/>
          <w:szCs w:val="24"/>
          <w:lang w:val="en-US"/>
        </w:rPr>
        <w:t xml:space="preserve"> NYCA 1931 Cardozo)</w:t>
      </w:r>
    </w:p>
    <w:p w14:paraId="7EA9EAC8" w14:textId="4D7CB85B" w:rsidR="003F16FC" w:rsidRPr="003F16FC" w:rsidRDefault="003F16FC" w:rsidP="003F16FC">
      <w:pPr>
        <w:pStyle w:val="ListParagraph"/>
        <w:numPr>
          <w:ilvl w:val="3"/>
          <w:numId w:val="8"/>
        </w:numPr>
        <w:rPr>
          <w:rFonts w:asciiTheme="minorHAnsi" w:hAnsiTheme="minorHAnsi"/>
          <w:sz w:val="24"/>
          <w:szCs w:val="24"/>
        </w:rPr>
      </w:pPr>
      <w:r w:rsidRPr="006D698B">
        <w:rPr>
          <w:rFonts w:asciiTheme="minorHAnsi" w:hAnsiTheme="minorHAnsi"/>
          <w:sz w:val="24"/>
          <w:szCs w:val="24"/>
          <w:lang w:val="en-US"/>
        </w:rPr>
        <w:t>One who assumes to act, even though gratuitously, may thereby become subject to the duty of acting carefully, if he acts at all.</w:t>
      </w:r>
      <w:r>
        <w:rPr>
          <w:rFonts w:asciiTheme="minorHAnsi" w:hAnsiTheme="minorHAnsi"/>
          <w:sz w:val="24"/>
          <w:szCs w:val="24"/>
          <w:lang w:val="en-US"/>
        </w:rPr>
        <w:t xml:space="preserve"> </w:t>
      </w:r>
      <w:r w:rsidRPr="006D698B">
        <w:rPr>
          <w:rFonts w:asciiTheme="minorHAnsi" w:hAnsiTheme="minorHAnsi"/>
          <w:sz w:val="24"/>
          <w:szCs w:val="24"/>
          <w:lang w:val="en-US"/>
        </w:rPr>
        <w:t>(Glanzer NYCA 1921 Cardozo)</w:t>
      </w:r>
    </w:p>
    <w:p w14:paraId="50E9C2E7" w14:textId="56C57A83" w:rsidR="00727609" w:rsidRDefault="00727609" w:rsidP="00E9264E">
      <w:pPr>
        <w:pStyle w:val="ListParagraph"/>
        <w:numPr>
          <w:ilvl w:val="1"/>
          <w:numId w:val="8"/>
        </w:numPr>
        <w:rPr>
          <w:rFonts w:asciiTheme="minorHAnsi" w:hAnsiTheme="minorHAnsi"/>
          <w:sz w:val="24"/>
          <w:szCs w:val="24"/>
        </w:rPr>
      </w:pPr>
      <w:r>
        <w:rPr>
          <w:rFonts w:asciiTheme="minorHAnsi" w:hAnsiTheme="minorHAnsi"/>
          <w:sz w:val="24"/>
          <w:szCs w:val="24"/>
        </w:rPr>
        <w:t>Negligent Misrepresentation by Auditors</w:t>
      </w:r>
    </w:p>
    <w:p w14:paraId="0CD278D9" w14:textId="03393728" w:rsidR="00BF6E79" w:rsidRPr="00BE1836" w:rsidRDefault="00BE1836" w:rsidP="00BE1836">
      <w:pPr>
        <w:pStyle w:val="ListParagraph"/>
        <w:numPr>
          <w:ilvl w:val="2"/>
          <w:numId w:val="8"/>
        </w:numPr>
        <w:spacing w:line="240" w:lineRule="auto"/>
        <w:rPr>
          <w:sz w:val="24"/>
          <w:szCs w:val="24"/>
        </w:rPr>
      </w:pPr>
      <w:r w:rsidRPr="007F1894">
        <w:rPr>
          <w:sz w:val="24"/>
          <w:szCs w:val="24"/>
        </w:rPr>
        <w:t xml:space="preserve">More broadly, </w:t>
      </w:r>
      <w:r w:rsidRPr="007F1894">
        <w:rPr>
          <w:i/>
          <w:iCs/>
          <w:sz w:val="24"/>
          <w:szCs w:val="24"/>
        </w:rPr>
        <w:t>Hercules</w:t>
      </w:r>
      <w:r w:rsidRPr="007F1894">
        <w:rPr>
          <w:sz w:val="24"/>
          <w:szCs w:val="24"/>
        </w:rPr>
        <w:t xml:space="preserve"> stands for the principle that “an auditor may owe its client a duty of care in relation to a particular undertaking.”</w:t>
      </w:r>
      <w:r>
        <w:rPr>
          <w:sz w:val="24"/>
          <w:szCs w:val="24"/>
        </w:rPr>
        <w:t xml:space="preserve"> (Deloitte 2017 SCC)</w:t>
      </w:r>
    </w:p>
    <w:p w14:paraId="4CD9374D" w14:textId="20F1A41D" w:rsidR="00E9264E" w:rsidRDefault="00882ABB" w:rsidP="00E9264E">
      <w:pPr>
        <w:pStyle w:val="ListParagraph"/>
        <w:numPr>
          <w:ilvl w:val="2"/>
          <w:numId w:val="8"/>
        </w:numPr>
        <w:rPr>
          <w:rFonts w:asciiTheme="minorHAnsi" w:hAnsiTheme="minorHAnsi"/>
          <w:sz w:val="24"/>
          <w:szCs w:val="24"/>
        </w:rPr>
      </w:pPr>
      <w:r>
        <w:rPr>
          <w:rFonts w:asciiTheme="minorHAnsi" w:hAnsiTheme="minorHAnsi"/>
          <w:sz w:val="24"/>
          <w:szCs w:val="24"/>
        </w:rPr>
        <w:t>Proximity is established when all the following are true:</w:t>
      </w:r>
      <w:r w:rsidR="005403F3">
        <w:rPr>
          <w:rFonts w:asciiTheme="minorHAnsi" w:hAnsiTheme="minorHAnsi"/>
          <w:sz w:val="24"/>
          <w:szCs w:val="24"/>
        </w:rPr>
        <w:t xml:space="preserve"> (Hercules 1997 SCC)</w:t>
      </w:r>
    </w:p>
    <w:p w14:paraId="3F5F8664" w14:textId="2727FF85" w:rsidR="00D52557" w:rsidRDefault="00D52557" w:rsidP="00D52557">
      <w:pPr>
        <w:pStyle w:val="ListParagraph"/>
        <w:numPr>
          <w:ilvl w:val="3"/>
          <w:numId w:val="8"/>
        </w:numPr>
        <w:spacing w:line="240" w:lineRule="auto"/>
        <w:rPr>
          <w:sz w:val="24"/>
          <w:szCs w:val="24"/>
        </w:rPr>
      </w:pPr>
      <w:r>
        <w:rPr>
          <w:sz w:val="24"/>
          <w:szCs w:val="24"/>
        </w:rPr>
        <w:t>the defendant-representor must reasonably foresee that the plaintiff-representee will rely on their representation.</w:t>
      </w:r>
    </w:p>
    <w:p w14:paraId="4EB38D88" w14:textId="44825F77" w:rsidR="00D52557" w:rsidRDefault="00D52557" w:rsidP="00D52557">
      <w:pPr>
        <w:pStyle w:val="ListParagraph"/>
        <w:numPr>
          <w:ilvl w:val="3"/>
          <w:numId w:val="8"/>
        </w:numPr>
        <w:spacing w:line="240" w:lineRule="auto"/>
        <w:rPr>
          <w:sz w:val="24"/>
          <w:szCs w:val="24"/>
        </w:rPr>
      </w:pPr>
      <w:r>
        <w:rPr>
          <w:sz w:val="24"/>
          <w:szCs w:val="24"/>
        </w:rPr>
        <w:t>reliance by the plaintiff-representee would, in the circumstances of the case, be reasonable.</w:t>
      </w:r>
    </w:p>
    <w:p w14:paraId="2174D000" w14:textId="35B5B025" w:rsidR="00882ABB" w:rsidRPr="002E6CC7" w:rsidRDefault="002E6CC7" w:rsidP="00882ABB">
      <w:pPr>
        <w:pStyle w:val="ListParagraph"/>
        <w:numPr>
          <w:ilvl w:val="3"/>
          <w:numId w:val="8"/>
        </w:numPr>
        <w:rPr>
          <w:rFonts w:asciiTheme="minorHAnsi" w:hAnsiTheme="minorHAnsi"/>
          <w:sz w:val="24"/>
          <w:szCs w:val="24"/>
        </w:rPr>
      </w:pPr>
      <w:r>
        <w:rPr>
          <w:rFonts w:asciiTheme="minorHAnsi" w:hAnsiTheme="minorHAnsi"/>
          <w:sz w:val="24"/>
          <w:szCs w:val="24"/>
          <w:lang w:val="en-US"/>
        </w:rPr>
        <w:t>T</w:t>
      </w:r>
      <w:r w:rsidRPr="002E6CC7">
        <w:rPr>
          <w:rFonts w:asciiTheme="minorHAnsi" w:hAnsiTheme="minorHAnsi"/>
          <w:sz w:val="24"/>
          <w:szCs w:val="24"/>
          <w:lang w:val="en-US"/>
        </w:rPr>
        <w:t>he defendant</w:t>
      </w:r>
      <w:r>
        <w:rPr>
          <w:rFonts w:asciiTheme="minorHAnsi" w:hAnsiTheme="minorHAnsi"/>
          <w:sz w:val="24"/>
          <w:szCs w:val="24"/>
          <w:lang w:val="en-US"/>
        </w:rPr>
        <w:t>-representor</w:t>
      </w:r>
      <w:r w:rsidRPr="002E6CC7">
        <w:rPr>
          <w:rFonts w:asciiTheme="minorHAnsi" w:hAnsiTheme="minorHAnsi"/>
          <w:sz w:val="24"/>
          <w:szCs w:val="24"/>
          <w:lang w:val="en-US"/>
        </w:rPr>
        <w:t xml:space="preserve"> must have had actual knowledge that their statement would be communicated to the plaintiff</w:t>
      </w:r>
      <w:r>
        <w:rPr>
          <w:rFonts w:asciiTheme="minorHAnsi" w:hAnsiTheme="minorHAnsi"/>
          <w:sz w:val="24"/>
          <w:szCs w:val="24"/>
          <w:lang w:val="en-US"/>
        </w:rPr>
        <w:t>-representee</w:t>
      </w:r>
      <w:r w:rsidRPr="002E6CC7">
        <w:rPr>
          <w:rFonts w:asciiTheme="minorHAnsi" w:hAnsiTheme="minorHAnsi"/>
          <w:sz w:val="24"/>
          <w:szCs w:val="24"/>
          <w:lang w:val="en-US"/>
        </w:rPr>
        <w:t>, either as an individual or as a member of an identifiable class</w:t>
      </w:r>
      <w:r>
        <w:rPr>
          <w:rFonts w:asciiTheme="minorHAnsi" w:hAnsiTheme="minorHAnsi"/>
          <w:sz w:val="24"/>
          <w:szCs w:val="24"/>
          <w:lang w:val="en-US"/>
        </w:rPr>
        <w:t>.</w:t>
      </w:r>
      <w:r w:rsidR="004930AB">
        <w:rPr>
          <w:rFonts w:asciiTheme="minorHAnsi" w:hAnsiTheme="minorHAnsi"/>
          <w:sz w:val="24"/>
          <w:szCs w:val="24"/>
          <w:lang w:val="en-US"/>
        </w:rPr>
        <w:t xml:space="preserve"> (Haig &amp; Caparo, affirmed by Hercules)</w:t>
      </w:r>
    </w:p>
    <w:p w14:paraId="751CD97A" w14:textId="7F491815" w:rsidR="002E6CC7" w:rsidRPr="00D91ED5" w:rsidRDefault="005403F3" w:rsidP="00882ABB">
      <w:pPr>
        <w:pStyle w:val="ListParagraph"/>
        <w:numPr>
          <w:ilvl w:val="3"/>
          <w:numId w:val="8"/>
        </w:numPr>
        <w:rPr>
          <w:rFonts w:asciiTheme="minorHAnsi" w:hAnsiTheme="minorHAnsi"/>
          <w:sz w:val="24"/>
          <w:szCs w:val="24"/>
        </w:rPr>
      </w:pPr>
      <w:r w:rsidRPr="005403F3">
        <w:rPr>
          <w:rFonts w:asciiTheme="minorHAnsi" w:hAnsiTheme="minorHAnsi"/>
          <w:sz w:val="24"/>
          <w:szCs w:val="24"/>
          <w:lang w:val="en-US"/>
        </w:rPr>
        <w:t>The plaintiff</w:t>
      </w:r>
      <w:r>
        <w:rPr>
          <w:rFonts w:asciiTheme="minorHAnsi" w:hAnsiTheme="minorHAnsi"/>
          <w:sz w:val="24"/>
          <w:szCs w:val="24"/>
          <w:lang w:val="en-US"/>
        </w:rPr>
        <w:t>-representee</w:t>
      </w:r>
      <w:r w:rsidRPr="005403F3">
        <w:rPr>
          <w:rFonts w:asciiTheme="minorHAnsi" w:hAnsiTheme="minorHAnsi"/>
          <w:sz w:val="24"/>
          <w:szCs w:val="24"/>
          <w:lang w:val="en-US"/>
        </w:rPr>
        <w:t xml:space="preserve"> did in fact rely on that statement for </w:t>
      </w:r>
      <w:proofErr w:type="gramStart"/>
      <w:r w:rsidRPr="005403F3">
        <w:rPr>
          <w:rFonts w:asciiTheme="minorHAnsi" w:hAnsiTheme="minorHAnsi"/>
          <w:sz w:val="24"/>
          <w:szCs w:val="24"/>
          <w:lang w:val="en-US"/>
        </w:rPr>
        <w:t>the</w:t>
      </w:r>
      <w:proofErr w:type="gramEnd"/>
      <w:r w:rsidRPr="005403F3">
        <w:rPr>
          <w:rFonts w:asciiTheme="minorHAnsi" w:hAnsiTheme="minorHAnsi"/>
          <w:sz w:val="24"/>
          <w:szCs w:val="24"/>
          <w:lang w:val="en-US"/>
        </w:rPr>
        <w:t xml:space="preserve"> specific purpose, or in connection with the specific transaction or type of transaction, for which it was provided and consequently suffered economic loss</w:t>
      </w:r>
      <w:r>
        <w:rPr>
          <w:rFonts w:asciiTheme="minorHAnsi" w:hAnsiTheme="minorHAnsi"/>
          <w:sz w:val="24"/>
          <w:szCs w:val="24"/>
          <w:lang w:val="en-US"/>
        </w:rPr>
        <w:t>.</w:t>
      </w:r>
      <w:r w:rsidR="004930AB">
        <w:rPr>
          <w:rFonts w:asciiTheme="minorHAnsi" w:hAnsiTheme="minorHAnsi"/>
          <w:sz w:val="24"/>
          <w:szCs w:val="24"/>
          <w:lang w:val="en-US"/>
        </w:rPr>
        <w:t xml:space="preserve"> </w:t>
      </w:r>
      <w:r w:rsidR="004930AB" w:rsidRPr="004930AB">
        <w:rPr>
          <w:rFonts w:asciiTheme="minorHAnsi" w:hAnsiTheme="minorHAnsi"/>
          <w:sz w:val="24"/>
          <w:szCs w:val="24"/>
          <w:lang w:val="en-US"/>
        </w:rPr>
        <w:t>(Haig &amp; Caparo, affirmed by Hercules)</w:t>
      </w:r>
    </w:p>
    <w:p w14:paraId="2DBAE173" w14:textId="5C1EF0A4" w:rsidR="00D91ED5" w:rsidRDefault="00D91ED5" w:rsidP="00752998">
      <w:pPr>
        <w:pStyle w:val="ListParagraph"/>
        <w:numPr>
          <w:ilvl w:val="2"/>
          <w:numId w:val="8"/>
        </w:numPr>
        <w:rPr>
          <w:rFonts w:asciiTheme="minorHAnsi" w:hAnsiTheme="minorHAnsi"/>
          <w:sz w:val="24"/>
          <w:szCs w:val="24"/>
        </w:rPr>
      </w:pPr>
      <w:r>
        <w:rPr>
          <w:rFonts w:asciiTheme="minorHAnsi" w:hAnsiTheme="minorHAnsi"/>
          <w:sz w:val="24"/>
          <w:szCs w:val="24"/>
          <w:lang w:val="en-US"/>
        </w:rPr>
        <w:t xml:space="preserve">End and aim rule: </w:t>
      </w:r>
      <w:r w:rsidR="00752998" w:rsidRPr="00752998">
        <w:rPr>
          <w:rFonts w:asciiTheme="minorHAnsi" w:hAnsiTheme="minorHAnsi"/>
          <w:sz w:val="24"/>
          <w:szCs w:val="24"/>
        </w:rPr>
        <w:t>Reliance outside the scope of the undertaking, that scope being the purpose for which the representation was made, or the service was undertaken, falls outside the scope of the proximate relationship and thus the duty of care. This limits liability.</w:t>
      </w:r>
      <w:r w:rsidR="00752998">
        <w:rPr>
          <w:rFonts w:asciiTheme="minorHAnsi" w:hAnsiTheme="minorHAnsi"/>
          <w:sz w:val="24"/>
          <w:szCs w:val="24"/>
        </w:rPr>
        <w:t xml:space="preserve"> (Deloitte, see also Glanzer, </w:t>
      </w:r>
      <w:proofErr w:type="spellStart"/>
      <w:r w:rsidR="00752998">
        <w:rPr>
          <w:rFonts w:asciiTheme="minorHAnsi" w:hAnsiTheme="minorHAnsi"/>
          <w:sz w:val="24"/>
          <w:szCs w:val="24"/>
        </w:rPr>
        <w:t>Ultramares</w:t>
      </w:r>
      <w:proofErr w:type="spellEnd"/>
      <w:r w:rsidR="00752998">
        <w:rPr>
          <w:rFonts w:asciiTheme="minorHAnsi" w:hAnsiTheme="minorHAnsi"/>
          <w:sz w:val="24"/>
          <w:szCs w:val="24"/>
        </w:rPr>
        <w:t>, and Haig)</w:t>
      </w:r>
    </w:p>
    <w:p w14:paraId="19DE7ADB" w14:textId="47A8AFDA" w:rsidR="007E7E4E" w:rsidRDefault="007E7E4E" w:rsidP="007E7E4E">
      <w:pPr>
        <w:pStyle w:val="ListParagraph"/>
        <w:numPr>
          <w:ilvl w:val="2"/>
          <w:numId w:val="8"/>
        </w:numPr>
        <w:rPr>
          <w:rFonts w:asciiTheme="minorHAnsi" w:hAnsiTheme="minorHAnsi"/>
          <w:sz w:val="24"/>
          <w:szCs w:val="24"/>
        </w:rPr>
      </w:pPr>
      <w:r>
        <w:rPr>
          <w:rFonts w:asciiTheme="minorHAnsi" w:hAnsiTheme="minorHAnsi"/>
          <w:sz w:val="24"/>
          <w:szCs w:val="24"/>
        </w:rPr>
        <w:t>Consequently, t</w:t>
      </w:r>
      <w:r w:rsidRPr="007E7E4E">
        <w:rPr>
          <w:rFonts w:asciiTheme="minorHAnsi" w:hAnsiTheme="minorHAnsi"/>
          <w:sz w:val="24"/>
          <w:szCs w:val="24"/>
        </w:rPr>
        <w:t>he purpose underlying the defendant’s undertaking and the plaintiff’s corresponding reliance limits the types of injury which may be reasonably foreseeable as resulting from the defendant’s negligence.</w:t>
      </w:r>
      <w:r w:rsidR="000F5EFF">
        <w:rPr>
          <w:rFonts w:asciiTheme="minorHAnsi" w:hAnsiTheme="minorHAnsi"/>
          <w:sz w:val="24"/>
          <w:szCs w:val="24"/>
        </w:rPr>
        <w:t xml:space="preserve"> (Deloitte)</w:t>
      </w:r>
    </w:p>
    <w:p w14:paraId="242CED9A" w14:textId="3BA88D68" w:rsidR="00AB05C7" w:rsidRPr="00AB05C7" w:rsidRDefault="00AB05C7" w:rsidP="00AB05C7">
      <w:pPr>
        <w:pStyle w:val="ListParagraph"/>
        <w:numPr>
          <w:ilvl w:val="3"/>
          <w:numId w:val="8"/>
        </w:numPr>
        <w:spacing w:line="240" w:lineRule="auto"/>
        <w:rPr>
          <w:sz w:val="24"/>
          <w:szCs w:val="24"/>
        </w:rPr>
      </w:pPr>
      <w:r w:rsidRPr="007F1894">
        <w:rPr>
          <w:sz w:val="24"/>
          <w:szCs w:val="24"/>
        </w:rPr>
        <w:lastRenderedPageBreak/>
        <w:t>where the reliance is for a purpose outside the scope of that right, such reliance is neither reasonable nor reasonably foreseeable.</w:t>
      </w:r>
      <w:r>
        <w:rPr>
          <w:sz w:val="24"/>
          <w:szCs w:val="24"/>
        </w:rPr>
        <w:t xml:space="preserve"> (Deloitte)</w:t>
      </w:r>
    </w:p>
    <w:p w14:paraId="01A83F38" w14:textId="122A11B5" w:rsidR="00827A77" w:rsidRDefault="00827A77" w:rsidP="003738CA">
      <w:pPr>
        <w:pStyle w:val="ListParagraph"/>
        <w:numPr>
          <w:ilvl w:val="2"/>
          <w:numId w:val="8"/>
        </w:numPr>
        <w:rPr>
          <w:rFonts w:asciiTheme="minorHAnsi" w:hAnsiTheme="minorHAnsi"/>
          <w:sz w:val="24"/>
          <w:szCs w:val="24"/>
        </w:rPr>
      </w:pPr>
      <w:r>
        <w:rPr>
          <w:rFonts w:asciiTheme="minorHAnsi" w:hAnsiTheme="minorHAnsi"/>
          <w:sz w:val="24"/>
          <w:szCs w:val="24"/>
        </w:rPr>
        <w:t xml:space="preserve">The </w:t>
      </w:r>
      <w:proofErr w:type="gramStart"/>
      <w:r>
        <w:rPr>
          <w:rFonts w:asciiTheme="minorHAnsi" w:hAnsiTheme="minorHAnsi"/>
          <w:sz w:val="24"/>
          <w:szCs w:val="24"/>
        </w:rPr>
        <w:t>underlying purpose</w:t>
      </w:r>
      <w:proofErr w:type="gramEnd"/>
      <w:r>
        <w:rPr>
          <w:rFonts w:asciiTheme="minorHAnsi" w:hAnsiTheme="minorHAnsi"/>
          <w:sz w:val="24"/>
          <w:szCs w:val="24"/>
        </w:rPr>
        <w:t xml:space="preserve"> of a statutorily required audit is:</w:t>
      </w:r>
    </w:p>
    <w:p w14:paraId="63317792" w14:textId="4687CE87" w:rsidR="00827A77" w:rsidRPr="00A87534" w:rsidRDefault="00A87534" w:rsidP="00827A77">
      <w:pPr>
        <w:pStyle w:val="ListParagraph"/>
        <w:numPr>
          <w:ilvl w:val="3"/>
          <w:numId w:val="8"/>
        </w:numPr>
        <w:rPr>
          <w:rFonts w:asciiTheme="minorHAnsi" w:hAnsiTheme="minorHAnsi"/>
          <w:sz w:val="24"/>
          <w:szCs w:val="24"/>
        </w:rPr>
      </w:pPr>
      <w:r>
        <w:rPr>
          <w:rFonts w:asciiTheme="minorHAnsi" w:hAnsiTheme="minorHAnsi"/>
          <w:sz w:val="24"/>
          <w:szCs w:val="24"/>
          <w:lang w:val="en-US"/>
        </w:rPr>
        <w:t>P</w:t>
      </w:r>
      <w:r w:rsidR="009A7AA1" w:rsidRPr="009A7AA1">
        <w:rPr>
          <w:rFonts w:asciiTheme="minorHAnsi" w:hAnsiTheme="minorHAnsi"/>
          <w:sz w:val="24"/>
          <w:szCs w:val="24"/>
          <w:lang w:val="en-US"/>
        </w:rPr>
        <w:t>rotecting the company from the consequences of error or wrongdoing</w:t>
      </w:r>
      <w:r>
        <w:rPr>
          <w:rFonts w:asciiTheme="minorHAnsi" w:hAnsiTheme="minorHAnsi"/>
          <w:sz w:val="24"/>
          <w:szCs w:val="24"/>
          <w:lang w:val="en-US"/>
        </w:rPr>
        <w:t>.</w:t>
      </w:r>
      <w:r w:rsidRPr="00A87534">
        <w:rPr>
          <w:rFonts w:asciiTheme="minorHAnsi" w:hAnsiTheme="minorHAnsi"/>
          <w:sz w:val="24"/>
          <w:szCs w:val="24"/>
          <w:lang w:val="en-US"/>
        </w:rPr>
        <w:t xml:space="preserve"> (Deloitte, Hercules, Caparo)</w:t>
      </w:r>
    </w:p>
    <w:p w14:paraId="0AA6DB33" w14:textId="1E1D031E" w:rsidR="00A87534" w:rsidRPr="00A87534" w:rsidRDefault="00A87534" w:rsidP="00827A77">
      <w:pPr>
        <w:pStyle w:val="ListParagraph"/>
        <w:numPr>
          <w:ilvl w:val="3"/>
          <w:numId w:val="8"/>
        </w:numPr>
        <w:rPr>
          <w:rFonts w:asciiTheme="minorHAnsi" w:hAnsiTheme="minorHAnsi"/>
          <w:sz w:val="24"/>
          <w:szCs w:val="24"/>
        </w:rPr>
      </w:pPr>
      <w:r>
        <w:rPr>
          <w:rFonts w:asciiTheme="minorHAnsi" w:hAnsiTheme="minorHAnsi"/>
          <w:sz w:val="24"/>
          <w:szCs w:val="24"/>
          <w:lang w:val="en-US"/>
        </w:rPr>
        <w:t>P</w:t>
      </w:r>
      <w:r w:rsidRPr="00A87534">
        <w:rPr>
          <w:rFonts w:asciiTheme="minorHAnsi" w:hAnsiTheme="minorHAnsi"/>
          <w:sz w:val="24"/>
          <w:szCs w:val="24"/>
          <w:lang w:val="en-US"/>
        </w:rPr>
        <w:t>roviding shareholders with reliable information for the purpose of enabling effective scrutiny of the conduct of the company’s affairs and the effective exercise of their collective powers over the company. (Deloitte, Hercules, Caparo)</w:t>
      </w:r>
    </w:p>
    <w:p w14:paraId="2330BF63" w14:textId="1096C731" w:rsidR="00A87534" w:rsidRPr="00827A77" w:rsidRDefault="00A87534" w:rsidP="00A87534">
      <w:pPr>
        <w:pStyle w:val="ListParagraph"/>
        <w:numPr>
          <w:ilvl w:val="4"/>
          <w:numId w:val="8"/>
        </w:numPr>
        <w:rPr>
          <w:rFonts w:asciiTheme="minorHAnsi" w:hAnsiTheme="minorHAnsi"/>
          <w:sz w:val="24"/>
          <w:szCs w:val="24"/>
        </w:rPr>
      </w:pPr>
      <w:r>
        <w:rPr>
          <w:rFonts w:asciiTheme="minorHAnsi" w:hAnsiTheme="minorHAnsi"/>
          <w:sz w:val="24"/>
          <w:szCs w:val="24"/>
          <w:lang w:val="en-US"/>
        </w:rPr>
        <w:t>The duty is to their collective interest, not their individual interests. (Deloitte, Hercules, Caparo)</w:t>
      </w:r>
    </w:p>
    <w:p w14:paraId="113EC286"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Manufacturer’s liability (Donoghue v Stevenson 1932 UKHL)</w:t>
      </w:r>
    </w:p>
    <w:p w14:paraId="2FB93A11"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Distributor’s liability (Watson v Ogee Ltd 1940 UK)</w:t>
      </w:r>
    </w:p>
    <w:p w14:paraId="6FF5582B"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Negligent misrepresentation (Hedley Byrne v Heller 1964 UKHL)</w:t>
      </w:r>
    </w:p>
    <w:p w14:paraId="32445A17"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Misfeasance in public office (Cooper)</w:t>
      </w:r>
    </w:p>
    <w:p w14:paraId="0340F090"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Duty to warn of a risk of danger (Cooper)</w:t>
      </w:r>
    </w:p>
    <w:p w14:paraId="6D596D5F"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Duty of a municipality to prospective purchasers of real estate to inspect without negligence (Kamloops)</w:t>
      </w:r>
    </w:p>
    <w:p w14:paraId="1AC5C409"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Rescuers liability (Horsley v MacLaren 1972 SCC)</w:t>
      </w:r>
    </w:p>
    <w:p w14:paraId="2FFE54AD"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Rescue is a natural and probable consequence of the creation of a reasonably foreseeable risk of physical injury or death. Thus, the negligent party owes a duty of care to both the person injured by their breach of duty and to their rescuer. (Wagner v International Railway NYCA 1921)</w:t>
      </w:r>
    </w:p>
    <w:p w14:paraId="4B034EA8"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Rescuer’s liability is a duty independent of the duty owed to the imperilled party. This is because the reasonably foreseeable risks attached to rescue are also natural and probable consequences of the negligent act; they are both reasonably foreseeable consequences of the defendant’s negligent act or omission. (Horsley 1972 SCC)</w:t>
      </w:r>
    </w:p>
    <w:p w14:paraId="58ED6CC1"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Rescuers liability does not extend to interventions so stupid that they are not reasonably foreseeable to the negligent party. (Horsley 1972 SCC)</w:t>
      </w:r>
    </w:p>
    <w:p w14:paraId="27720D45"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The doctrine of the assumption of risk does not apply where the plaintiff has, under a circumstance caused by the defendant’s wrongful act, consciously and deliberately faced a risk, even of death, to rescue another from imminent danger of personal injury or death, regardless of whether he is under a legal duty to do so. (Haynes v Harwood 1935 UKCA)</w:t>
      </w:r>
    </w:p>
    <w:p w14:paraId="5D73CBC8"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lastRenderedPageBreak/>
        <w:t>Rescuers liability applies to negligent medical treatment. (Urbanski 1978 Man. QB)</w:t>
      </w:r>
    </w:p>
    <w:p w14:paraId="3E5DAEF1"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b/>
          <w:bCs/>
          <w:sz w:val="24"/>
          <w:szCs w:val="24"/>
        </w:rPr>
        <w:t>Ontario Good Samaritan Act</w:t>
      </w:r>
      <w:r w:rsidRPr="002B6139">
        <w:rPr>
          <w:rFonts w:asciiTheme="minorHAnsi" w:hAnsiTheme="minorHAnsi"/>
          <w:sz w:val="24"/>
          <w:szCs w:val="24"/>
        </w:rPr>
        <w:t xml:space="preserve">: Healthcare professionals are not liable for negligence caused by the provision of </w:t>
      </w:r>
      <w:r w:rsidRPr="002B6139">
        <w:rPr>
          <w:rFonts w:asciiTheme="minorHAnsi" w:hAnsiTheme="minorHAnsi"/>
          <w:b/>
          <w:bCs/>
          <w:sz w:val="24"/>
          <w:szCs w:val="24"/>
        </w:rPr>
        <w:t>gratuitous or emergency medical services</w:t>
      </w:r>
      <w:r w:rsidRPr="002B6139">
        <w:rPr>
          <w:rFonts w:asciiTheme="minorHAnsi" w:hAnsiTheme="minorHAnsi"/>
          <w:sz w:val="24"/>
          <w:szCs w:val="24"/>
        </w:rPr>
        <w:t xml:space="preserve"> unless the damages were caused by their </w:t>
      </w:r>
      <w:r w:rsidRPr="002B6139">
        <w:rPr>
          <w:rFonts w:asciiTheme="minorHAnsi" w:hAnsiTheme="minorHAnsi"/>
          <w:b/>
          <w:bCs/>
          <w:sz w:val="24"/>
          <w:szCs w:val="24"/>
        </w:rPr>
        <w:t>gross negligence</w:t>
      </w:r>
      <w:r w:rsidRPr="002B6139">
        <w:rPr>
          <w:rFonts w:asciiTheme="minorHAnsi" w:hAnsiTheme="minorHAnsi"/>
          <w:sz w:val="24"/>
          <w:szCs w:val="24"/>
        </w:rPr>
        <w:t>.</w:t>
      </w:r>
    </w:p>
    <w:p w14:paraId="2B0D33FC"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Negligent Investigation (Hill v Hamilton-Wentworth Services Board 2007 SCC)</w:t>
      </w:r>
    </w:p>
    <w:p w14:paraId="34901B9F"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Duty of governmental authorities who have undertaken a policy of road maintenance to execute that policy with reasonable care. (Cooper)</w:t>
      </w:r>
    </w:p>
    <w:p w14:paraId="17806AC5"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Duty of a social host towards guests (Childs v Desormeaux 2006 SCC)</w:t>
      </w:r>
    </w:p>
    <w:p w14:paraId="348CD066" w14:textId="131E4CE0" w:rsidR="00101306"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Does not extend to a person injured by a guest who has consumed alcohol after the guest has left the premises.</w:t>
      </w:r>
      <w:r w:rsidR="0075019B" w:rsidRPr="002B6139">
        <w:rPr>
          <w:rFonts w:asciiTheme="minorHAnsi" w:hAnsiTheme="minorHAnsi"/>
          <w:sz w:val="24"/>
          <w:szCs w:val="24"/>
        </w:rPr>
        <w:t xml:space="preserve"> (Childs)</w:t>
      </w:r>
    </w:p>
    <w:p w14:paraId="46D746D3" w14:textId="41062311" w:rsidR="00D63837" w:rsidRDefault="00E54D0E" w:rsidP="00D63837">
      <w:pPr>
        <w:pStyle w:val="ListParagraph"/>
        <w:numPr>
          <w:ilvl w:val="1"/>
          <w:numId w:val="8"/>
        </w:numPr>
        <w:rPr>
          <w:rFonts w:asciiTheme="minorHAnsi" w:hAnsiTheme="minorHAnsi"/>
          <w:sz w:val="24"/>
          <w:szCs w:val="24"/>
        </w:rPr>
      </w:pPr>
      <w:r>
        <w:rPr>
          <w:rFonts w:asciiTheme="minorHAnsi" w:hAnsiTheme="minorHAnsi"/>
          <w:sz w:val="24"/>
          <w:szCs w:val="24"/>
        </w:rPr>
        <w:t>Dobson: No duty by mother to unborn child unless unborn child within relevant class of plaintiffs in risk description.</w:t>
      </w:r>
    </w:p>
    <w:p w14:paraId="1923A1D0" w14:textId="77777777" w:rsidR="00101306" w:rsidRPr="002B6139" w:rsidRDefault="00101306" w:rsidP="00101306">
      <w:pPr>
        <w:pStyle w:val="ListParagraph"/>
        <w:numPr>
          <w:ilvl w:val="0"/>
          <w:numId w:val="8"/>
        </w:numPr>
        <w:rPr>
          <w:rFonts w:asciiTheme="minorHAnsi" w:hAnsiTheme="minorHAnsi"/>
          <w:sz w:val="24"/>
          <w:szCs w:val="24"/>
        </w:rPr>
      </w:pPr>
      <w:r w:rsidRPr="002B6139">
        <w:rPr>
          <w:rFonts w:asciiTheme="minorHAnsi" w:hAnsiTheme="minorHAnsi"/>
          <w:sz w:val="24"/>
          <w:szCs w:val="24"/>
        </w:rPr>
        <w:t>If not, then should a duty of care be imposed here as an extension by analogy of a pre-existing category or as a wholly novel category?</w:t>
      </w:r>
    </w:p>
    <w:p w14:paraId="07036A5A"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Cite Lord Diplock in Dorset Yacht 1970 UKHL for extension by analogical reasoning.</w:t>
      </w:r>
    </w:p>
    <w:p w14:paraId="2913C49B"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Relevant factors:</w:t>
      </w:r>
    </w:p>
    <w:p w14:paraId="766A33D7"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Physical closeness</w:t>
      </w:r>
    </w:p>
    <w:p w14:paraId="6353AE86"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Reliance</w:t>
      </w:r>
    </w:p>
    <w:p w14:paraId="1C5B286B"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Statutorily created duty</w:t>
      </w:r>
    </w:p>
    <w:p w14:paraId="702A4D43"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Expectations</w:t>
      </w:r>
    </w:p>
    <w:p w14:paraId="21E2EC9E"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Contract</w:t>
      </w:r>
    </w:p>
    <w:p w14:paraId="199C24D2" w14:textId="77777777" w:rsidR="00101306" w:rsidRPr="002B6139" w:rsidRDefault="00101306" w:rsidP="00101306">
      <w:pPr>
        <w:pStyle w:val="ListParagraph"/>
        <w:numPr>
          <w:ilvl w:val="1"/>
          <w:numId w:val="8"/>
        </w:numPr>
        <w:rPr>
          <w:rFonts w:asciiTheme="minorHAnsi" w:hAnsiTheme="minorHAnsi"/>
          <w:sz w:val="24"/>
          <w:szCs w:val="24"/>
        </w:rPr>
      </w:pPr>
      <w:r w:rsidRPr="002B6139">
        <w:rPr>
          <w:rFonts w:asciiTheme="minorHAnsi" w:hAnsiTheme="minorHAnsi"/>
          <w:sz w:val="24"/>
          <w:szCs w:val="24"/>
        </w:rPr>
        <w:t>Would recognizing a duty here create indeterminate liability in terms of:</w:t>
      </w:r>
    </w:p>
    <w:p w14:paraId="163D4157"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Value Indeterminacy: liability in an indeterminate amount</w:t>
      </w:r>
    </w:p>
    <w:p w14:paraId="47007129" w14:textId="77777777" w:rsidR="00101306" w:rsidRPr="002B6139" w:rsidRDefault="00101306" w:rsidP="00101306">
      <w:pPr>
        <w:pStyle w:val="ListParagraph"/>
        <w:numPr>
          <w:ilvl w:val="3"/>
          <w:numId w:val="8"/>
        </w:numPr>
        <w:rPr>
          <w:rFonts w:asciiTheme="minorHAnsi" w:hAnsiTheme="minorHAnsi"/>
          <w:sz w:val="24"/>
          <w:szCs w:val="24"/>
        </w:rPr>
      </w:pPr>
      <w:r w:rsidRPr="002B6139">
        <w:rPr>
          <w:rFonts w:asciiTheme="minorHAnsi" w:hAnsiTheme="minorHAnsi"/>
          <w:sz w:val="24"/>
          <w:szCs w:val="24"/>
        </w:rPr>
        <w:t>Typically determined by the reasonable foreseeability. In special relationship cases this gets determined by the purpose of the undertaking which in turn determines the scope of the reasonably foreseeable injury. (Deloitte)</w:t>
      </w:r>
    </w:p>
    <w:p w14:paraId="77020177"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Temporal indeterminacy: liability for an indeterminate time</w:t>
      </w:r>
    </w:p>
    <w:p w14:paraId="22FF2EB0" w14:textId="3E28EE5C" w:rsidR="00101306" w:rsidRPr="002B6139" w:rsidRDefault="00101306" w:rsidP="00101306">
      <w:pPr>
        <w:pStyle w:val="ListParagraph"/>
        <w:numPr>
          <w:ilvl w:val="3"/>
          <w:numId w:val="8"/>
        </w:numPr>
        <w:rPr>
          <w:rFonts w:asciiTheme="minorHAnsi" w:hAnsiTheme="minorHAnsi"/>
          <w:sz w:val="24"/>
          <w:szCs w:val="24"/>
        </w:rPr>
      </w:pPr>
      <w:r w:rsidRPr="002B6139">
        <w:rPr>
          <w:rFonts w:asciiTheme="minorHAnsi" w:hAnsiTheme="minorHAnsi"/>
          <w:sz w:val="24"/>
          <w:szCs w:val="24"/>
        </w:rPr>
        <w:t>Determined by both proximity and foreseeability since the longer the duration the less likely that it was either within the scope of the undertaking or foreseeable as resulting from the undertaking</w:t>
      </w:r>
      <w:r w:rsidR="00CE17DE" w:rsidRPr="002B6139">
        <w:rPr>
          <w:rFonts w:asciiTheme="minorHAnsi" w:hAnsiTheme="minorHAnsi"/>
          <w:sz w:val="24"/>
          <w:szCs w:val="24"/>
        </w:rPr>
        <w:t>/defendant’s conduct</w:t>
      </w:r>
      <w:r w:rsidRPr="002B6139">
        <w:rPr>
          <w:rFonts w:asciiTheme="minorHAnsi" w:hAnsiTheme="minorHAnsi"/>
          <w:sz w:val="24"/>
          <w:szCs w:val="24"/>
        </w:rPr>
        <w:t>. (Deloitte)</w:t>
      </w:r>
    </w:p>
    <w:p w14:paraId="32AEE48A" w14:textId="77777777" w:rsidR="00101306" w:rsidRPr="002B6139" w:rsidRDefault="00101306" w:rsidP="00101306">
      <w:pPr>
        <w:pStyle w:val="ListParagraph"/>
        <w:numPr>
          <w:ilvl w:val="2"/>
          <w:numId w:val="8"/>
        </w:numPr>
        <w:rPr>
          <w:rFonts w:asciiTheme="minorHAnsi" w:hAnsiTheme="minorHAnsi"/>
          <w:sz w:val="24"/>
          <w:szCs w:val="24"/>
        </w:rPr>
      </w:pPr>
      <w:r w:rsidRPr="002B6139">
        <w:rPr>
          <w:rFonts w:asciiTheme="minorHAnsi" w:hAnsiTheme="minorHAnsi"/>
          <w:sz w:val="24"/>
          <w:szCs w:val="24"/>
        </w:rPr>
        <w:t>Claimant indeterminacy: liability to an indeterminate class</w:t>
      </w:r>
    </w:p>
    <w:p w14:paraId="7A824A5C" w14:textId="15731D1C" w:rsidR="00101306" w:rsidRPr="002B6139" w:rsidRDefault="00101306" w:rsidP="00101306">
      <w:pPr>
        <w:pStyle w:val="ListParagraph"/>
        <w:numPr>
          <w:ilvl w:val="3"/>
          <w:numId w:val="8"/>
        </w:numPr>
        <w:rPr>
          <w:rFonts w:asciiTheme="minorHAnsi" w:hAnsiTheme="minorHAnsi"/>
          <w:sz w:val="24"/>
          <w:szCs w:val="24"/>
        </w:rPr>
      </w:pPr>
      <w:r w:rsidRPr="002B6139">
        <w:rPr>
          <w:rFonts w:asciiTheme="minorHAnsi" w:hAnsiTheme="minorHAnsi"/>
          <w:sz w:val="24"/>
          <w:szCs w:val="24"/>
        </w:rPr>
        <w:t>Determined by those</w:t>
      </w:r>
      <w:r w:rsidR="00CE17DE" w:rsidRPr="002B6139">
        <w:rPr>
          <w:rFonts w:asciiTheme="minorHAnsi" w:hAnsiTheme="minorHAnsi"/>
          <w:sz w:val="24"/>
          <w:szCs w:val="24"/>
        </w:rPr>
        <w:t xml:space="preserve"> for</w:t>
      </w:r>
      <w:r w:rsidRPr="002B6139">
        <w:rPr>
          <w:rFonts w:asciiTheme="minorHAnsi" w:hAnsiTheme="minorHAnsi"/>
          <w:sz w:val="24"/>
          <w:szCs w:val="24"/>
        </w:rPr>
        <w:t xml:space="preserve"> who</w:t>
      </w:r>
      <w:r w:rsidR="00CE17DE" w:rsidRPr="002B6139">
        <w:rPr>
          <w:rFonts w:asciiTheme="minorHAnsi" w:hAnsiTheme="minorHAnsi"/>
          <w:sz w:val="24"/>
          <w:szCs w:val="24"/>
        </w:rPr>
        <w:t>m</w:t>
      </w:r>
      <w:r w:rsidRPr="002B6139">
        <w:rPr>
          <w:rFonts w:asciiTheme="minorHAnsi" w:hAnsiTheme="minorHAnsi"/>
          <w:sz w:val="24"/>
          <w:szCs w:val="24"/>
        </w:rPr>
        <w:t xml:space="preserve"> the defendant undertook to act. (Deloitte)</w:t>
      </w:r>
    </w:p>
    <w:p w14:paraId="0371C562" w14:textId="77777777" w:rsidR="00101306" w:rsidRPr="002B6139" w:rsidRDefault="00101306" w:rsidP="00B56C1D">
      <w:pPr>
        <w:rPr>
          <w:rFonts w:asciiTheme="minorHAnsi" w:hAnsiTheme="minorHAnsi"/>
          <w:b/>
          <w:bCs/>
          <w:sz w:val="24"/>
          <w:szCs w:val="24"/>
        </w:rPr>
      </w:pPr>
    </w:p>
    <w:p w14:paraId="2895FE7E" w14:textId="2DC8054C" w:rsidR="00101306" w:rsidRPr="002B6139" w:rsidRDefault="00101306" w:rsidP="00B56C1D">
      <w:pPr>
        <w:rPr>
          <w:rFonts w:asciiTheme="minorHAnsi" w:hAnsiTheme="minorHAnsi"/>
          <w:b/>
          <w:bCs/>
          <w:sz w:val="24"/>
          <w:szCs w:val="24"/>
        </w:rPr>
      </w:pPr>
      <w:r w:rsidRPr="002B6139">
        <w:rPr>
          <w:rFonts w:asciiTheme="minorHAnsi" w:hAnsiTheme="minorHAnsi"/>
          <w:b/>
          <w:bCs/>
          <w:sz w:val="24"/>
          <w:szCs w:val="24"/>
        </w:rPr>
        <w:lastRenderedPageBreak/>
        <w:t xml:space="preserve">Stage One Part Two: Reasonable Foreseeability </w:t>
      </w:r>
      <w:r w:rsidR="004560EB" w:rsidRPr="002B6139">
        <w:rPr>
          <w:rFonts w:asciiTheme="minorHAnsi" w:hAnsiTheme="minorHAnsi"/>
          <w:b/>
          <w:bCs/>
          <w:sz w:val="24"/>
          <w:szCs w:val="24"/>
        </w:rPr>
        <w:t xml:space="preserve">– </w:t>
      </w:r>
      <w:r w:rsidRPr="002B6139">
        <w:rPr>
          <w:rFonts w:asciiTheme="minorHAnsi" w:hAnsiTheme="minorHAnsi"/>
          <w:b/>
          <w:bCs/>
          <w:sz w:val="24"/>
          <w:szCs w:val="24"/>
        </w:rPr>
        <w:t>Was the harm that occurred the reasonably foreseeable consequence of the defendant's act? (Cooper)</w:t>
      </w:r>
    </w:p>
    <w:p w14:paraId="4B77BDC1" w14:textId="3A700991" w:rsidR="00BE3E34" w:rsidRPr="002B6139" w:rsidRDefault="00A01167" w:rsidP="004E5CC4">
      <w:pPr>
        <w:pStyle w:val="ListParagraph"/>
        <w:numPr>
          <w:ilvl w:val="0"/>
          <w:numId w:val="17"/>
        </w:numPr>
        <w:rPr>
          <w:rFonts w:asciiTheme="minorHAnsi" w:hAnsiTheme="minorHAnsi"/>
          <w:sz w:val="24"/>
          <w:szCs w:val="24"/>
        </w:rPr>
      </w:pPr>
      <w:r w:rsidRPr="002B6139">
        <w:rPr>
          <w:rFonts w:asciiTheme="minorHAnsi" w:hAnsiTheme="minorHAnsi"/>
          <w:sz w:val="24"/>
          <w:szCs w:val="24"/>
        </w:rPr>
        <w:t>When determining whether reasonable foreseeability is established, the proper question to ask is whether the defendant’s act</w:t>
      </w:r>
      <w:r w:rsidR="0099737C" w:rsidRPr="002B6139">
        <w:rPr>
          <w:rFonts w:asciiTheme="minorHAnsi" w:hAnsiTheme="minorHAnsi"/>
          <w:sz w:val="24"/>
          <w:szCs w:val="24"/>
        </w:rPr>
        <w:t xml:space="preserve"> or omission</w:t>
      </w:r>
      <w:r w:rsidRPr="002B6139">
        <w:rPr>
          <w:rFonts w:asciiTheme="minorHAnsi" w:hAnsiTheme="minorHAnsi"/>
          <w:sz w:val="24"/>
          <w:szCs w:val="24"/>
        </w:rPr>
        <w:t xml:space="preserve"> created a</w:t>
      </w:r>
      <w:r w:rsidR="00BE3E34" w:rsidRPr="002B6139">
        <w:rPr>
          <w:rFonts w:asciiTheme="minorHAnsi" w:hAnsiTheme="minorHAnsi"/>
          <w:sz w:val="24"/>
          <w:szCs w:val="24"/>
        </w:rPr>
        <w:t xml:space="preserve">n unreasonable </w:t>
      </w:r>
      <w:r w:rsidRPr="002B6139">
        <w:rPr>
          <w:rFonts w:asciiTheme="minorHAnsi" w:hAnsiTheme="minorHAnsi"/>
          <w:sz w:val="24"/>
          <w:szCs w:val="24"/>
        </w:rPr>
        <w:t>risk of the type of damage suffered</w:t>
      </w:r>
      <w:r w:rsidR="007212CC" w:rsidRPr="002B6139">
        <w:rPr>
          <w:rFonts w:asciiTheme="minorHAnsi" w:hAnsiTheme="minorHAnsi"/>
          <w:sz w:val="24"/>
          <w:szCs w:val="24"/>
        </w:rPr>
        <w:t xml:space="preserve"> by the plaintiff</w:t>
      </w:r>
      <w:r w:rsidRPr="002B6139">
        <w:rPr>
          <w:rFonts w:asciiTheme="minorHAnsi" w:hAnsiTheme="minorHAnsi"/>
          <w:sz w:val="24"/>
          <w:szCs w:val="24"/>
        </w:rPr>
        <w:t xml:space="preserve"> to the class of plaintiffs </w:t>
      </w:r>
      <w:r w:rsidR="00EF7546" w:rsidRPr="002B6139">
        <w:rPr>
          <w:rFonts w:asciiTheme="minorHAnsi" w:hAnsiTheme="minorHAnsi"/>
          <w:sz w:val="24"/>
          <w:szCs w:val="24"/>
        </w:rPr>
        <w:t xml:space="preserve">of which the </w:t>
      </w:r>
      <w:proofErr w:type="gramStart"/>
      <w:r w:rsidR="00EF7546" w:rsidRPr="002B6139">
        <w:rPr>
          <w:rFonts w:asciiTheme="minorHAnsi" w:hAnsiTheme="minorHAnsi"/>
          <w:sz w:val="24"/>
          <w:szCs w:val="24"/>
        </w:rPr>
        <w:t>particular plaintiff</w:t>
      </w:r>
      <w:proofErr w:type="gramEnd"/>
      <w:r w:rsidR="00EF7546" w:rsidRPr="002B6139">
        <w:rPr>
          <w:rFonts w:asciiTheme="minorHAnsi" w:hAnsiTheme="minorHAnsi"/>
          <w:sz w:val="24"/>
          <w:szCs w:val="24"/>
        </w:rPr>
        <w:t xml:space="preserve"> is a member</w:t>
      </w:r>
      <w:r w:rsidRPr="002B6139">
        <w:rPr>
          <w:rFonts w:asciiTheme="minorHAnsi" w:hAnsiTheme="minorHAnsi"/>
          <w:sz w:val="24"/>
          <w:szCs w:val="24"/>
        </w:rPr>
        <w:t>. (Rankin’s Garage</w:t>
      </w:r>
      <w:r w:rsidR="00E57EA8" w:rsidRPr="002B6139">
        <w:rPr>
          <w:rFonts w:asciiTheme="minorHAnsi" w:hAnsiTheme="minorHAnsi"/>
          <w:sz w:val="24"/>
          <w:szCs w:val="24"/>
        </w:rPr>
        <w:t xml:space="preserve"> at para 24</w:t>
      </w:r>
      <w:r w:rsidRPr="002B6139">
        <w:rPr>
          <w:rFonts w:asciiTheme="minorHAnsi" w:hAnsiTheme="minorHAnsi"/>
          <w:sz w:val="24"/>
          <w:szCs w:val="24"/>
        </w:rPr>
        <w:t>)</w:t>
      </w:r>
    </w:p>
    <w:p w14:paraId="5B3EC48C" w14:textId="7A0CDD0F" w:rsidR="00740F7D" w:rsidRPr="002B6139" w:rsidRDefault="00740F7D" w:rsidP="004E5CC4">
      <w:pPr>
        <w:pStyle w:val="ListParagraph"/>
        <w:numPr>
          <w:ilvl w:val="1"/>
          <w:numId w:val="17"/>
        </w:numPr>
        <w:rPr>
          <w:rFonts w:asciiTheme="minorHAnsi" w:hAnsiTheme="minorHAnsi"/>
          <w:sz w:val="24"/>
          <w:szCs w:val="24"/>
        </w:rPr>
      </w:pPr>
      <w:r w:rsidRPr="002B6139">
        <w:rPr>
          <w:rFonts w:asciiTheme="minorHAnsi" w:hAnsiTheme="minorHAnsi"/>
          <w:sz w:val="24"/>
          <w:szCs w:val="24"/>
        </w:rPr>
        <w:t xml:space="preserve">The reason I use “unreasonable” instead of “reasonably foreseeable” is that </w:t>
      </w:r>
      <w:r w:rsidR="006B1335" w:rsidRPr="002B6139">
        <w:rPr>
          <w:rFonts w:asciiTheme="minorHAnsi" w:hAnsiTheme="minorHAnsi"/>
          <w:sz w:val="24"/>
          <w:szCs w:val="24"/>
        </w:rPr>
        <w:t xml:space="preserve">not all reasonably foreseeable risks are </w:t>
      </w:r>
      <w:r w:rsidR="00356D12" w:rsidRPr="002B6139">
        <w:rPr>
          <w:rFonts w:asciiTheme="minorHAnsi" w:hAnsiTheme="minorHAnsi"/>
          <w:sz w:val="24"/>
          <w:szCs w:val="24"/>
        </w:rPr>
        <w:t>unreasonable,</w:t>
      </w:r>
      <w:r w:rsidR="006B1335" w:rsidRPr="002B6139">
        <w:rPr>
          <w:rFonts w:asciiTheme="minorHAnsi" w:hAnsiTheme="minorHAnsi"/>
          <w:sz w:val="24"/>
          <w:szCs w:val="24"/>
        </w:rPr>
        <w:t xml:space="preserve"> but all unreasonable</w:t>
      </w:r>
      <w:r w:rsidR="008574C5" w:rsidRPr="002B6139">
        <w:rPr>
          <w:rFonts w:asciiTheme="minorHAnsi" w:hAnsiTheme="minorHAnsi"/>
          <w:sz w:val="24"/>
          <w:szCs w:val="24"/>
        </w:rPr>
        <w:t xml:space="preserve"> risks</w:t>
      </w:r>
      <w:r w:rsidR="006B1335" w:rsidRPr="002B6139">
        <w:rPr>
          <w:rFonts w:asciiTheme="minorHAnsi" w:hAnsiTheme="minorHAnsi"/>
          <w:sz w:val="24"/>
          <w:szCs w:val="24"/>
        </w:rPr>
        <w:t xml:space="preserve"> are </w:t>
      </w:r>
      <w:r w:rsidR="008574C5" w:rsidRPr="002B6139">
        <w:rPr>
          <w:rFonts w:asciiTheme="minorHAnsi" w:hAnsiTheme="minorHAnsi"/>
          <w:sz w:val="24"/>
          <w:szCs w:val="24"/>
        </w:rPr>
        <w:t xml:space="preserve">reasonably </w:t>
      </w:r>
      <w:r w:rsidR="006B1335" w:rsidRPr="002B6139">
        <w:rPr>
          <w:rFonts w:asciiTheme="minorHAnsi" w:hAnsiTheme="minorHAnsi"/>
          <w:sz w:val="24"/>
          <w:szCs w:val="24"/>
        </w:rPr>
        <w:t>foreseeable.</w:t>
      </w:r>
    </w:p>
    <w:p w14:paraId="297E7FC6" w14:textId="49A23A8E" w:rsidR="00DA26E2" w:rsidRDefault="00DA26E2" w:rsidP="004E5CC4">
      <w:pPr>
        <w:pStyle w:val="ListParagraph"/>
        <w:numPr>
          <w:ilvl w:val="1"/>
          <w:numId w:val="17"/>
        </w:numPr>
        <w:rPr>
          <w:rFonts w:asciiTheme="minorHAnsi" w:hAnsiTheme="minorHAnsi"/>
          <w:sz w:val="24"/>
          <w:szCs w:val="24"/>
        </w:rPr>
      </w:pPr>
      <w:r w:rsidRPr="002B6139">
        <w:rPr>
          <w:rFonts w:asciiTheme="minorHAnsi" w:hAnsiTheme="minorHAnsi"/>
          <w:sz w:val="24"/>
          <w:szCs w:val="24"/>
        </w:rPr>
        <w:t xml:space="preserve">The relevant class of plaintiffs is typically </w:t>
      </w:r>
      <w:r w:rsidR="00A02827" w:rsidRPr="002B6139">
        <w:rPr>
          <w:rFonts w:asciiTheme="minorHAnsi" w:hAnsiTheme="minorHAnsi"/>
          <w:sz w:val="24"/>
          <w:szCs w:val="24"/>
        </w:rPr>
        <w:t>determined</w:t>
      </w:r>
      <w:r w:rsidRPr="002B6139">
        <w:rPr>
          <w:rFonts w:asciiTheme="minorHAnsi" w:hAnsiTheme="minorHAnsi"/>
          <w:sz w:val="24"/>
          <w:szCs w:val="24"/>
        </w:rPr>
        <w:t xml:space="preserve"> by </w:t>
      </w:r>
      <w:r w:rsidR="00AD16CD" w:rsidRPr="002B6139">
        <w:rPr>
          <w:rFonts w:asciiTheme="minorHAnsi" w:hAnsiTheme="minorHAnsi"/>
          <w:sz w:val="24"/>
          <w:szCs w:val="24"/>
        </w:rPr>
        <w:t>the proximity analysis.</w:t>
      </w:r>
      <w:r w:rsidR="004039B2">
        <w:rPr>
          <w:rFonts w:asciiTheme="minorHAnsi" w:hAnsiTheme="minorHAnsi"/>
          <w:sz w:val="24"/>
          <w:szCs w:val="24"/>
        </w:rPr>
        <w:t xml:space="preserve"> </w:t>
      </w:r>
    </w:p>
    <w:p w14:paraId="609B054A" w14:textId="78805544" w:rsidR="000D64FB" w:rsidRPr="002B6139" w:rsidRDefault="000D64FB" w:rsidP="000D64FB">
      <w:pPr>
        <w:pStyle w:val="ListParagraph"/>
        <w:numPr>
          <w:ilvl w:val="2"/>
          <w:numId w:val="17"/>
        </w:numPr>
        <w:rPr>
          <w:rFonts w:asciiTheme="minorHAnsi" w:hAnsiTheme="minorHAnsi"/>
          <w:sz w:val="24"/>
          <w:szCs w:val="24"/>
        </w:rPr>
      </w:pPr>
      <w:r>
        <w:rPr>
          <w:rFonts w:asciiTheme="minorHAnsi" w:hAnsiTheme="minorHAnsi"/>
          <w:sz w:val="24"/>
          <w:szCs w:val="24"/>
        </w:rPr>
        <w:t>“The definition of the class is a normative construct</w:t>
      </w:r>
      <w:r w:rsidR="00A423BE">
        <w:rPr>
          <w:rFonts w:asciiTheme="minorHAnsi" w:hAnsiTheme="minorHAnsi"/>
          <w:sz w:val="24"/>
          <w:szCs w:val="24"/>
        </w:rPr>
        <w:t xml:space="preserve"> that reflects what it is that renders the defendant’s act wrongful.”</w:t>
      </w:r>
    </w:p>
    <w:p w14:paraId="43250CA4" w14:textId="588C18DB" w:rsidR="006A25BC" w:rsidRPr="002B6139" w:rsidRDefault="006A25BC" w:rsidP="004E5CC4">
      <w:pPr>
        <w:pStyle w:val="ListParagraph"/>
        <w:numPr>
          <w:ilvl w:val="1"/>
          <w:numId w:val="17"/>
        </w:numPr>
        <w:rPr>
          <w:rFonts w:asciiTheme="minorHAnsi" w:hAnsiTheme="minorHAnsi"/>
          <w:sz w:val="24"/>
          <w:szCs w:val="24"/>
        </w:rPr>
      </w:pPr>
      <w:r w:rsidRPr="002B6139">
        <w:rPr>
          <w:rFonts w:asciiTheme="minorHAnsi" w:hAnsiTheme="minorHAnsi"/>
          <w:sz w:val="24"/>
          <w:szCs w:val="24"/>
        </w:rPr>
        <w:t>The applicable standard of care is determined by the standard of care analysis.</w:t>
      </w:r>
    </w:p>
    <w:p w14:paraId="1F0283C3" w14:textId="64CFF21E" w:rsidR="006A25BC" w:rsidRPr="002B6139" w:rsidRDefault="006A25BC" w:rsidP="004E5CC4">
      <w:pPr>
        <w:pStyle w:val="ListParagraph"/>
        <w:numPr>
          <w:ilvl w:val="1"/>
          <w:numId w:val="17"/>
        </w:numPr>
        <w:rPr>
          <w:rFonts w:asciiTheme="minorHAnsi" w:hAnsiTheme="minorHAnsi"/>
          <w:sz w:val="24"/>
          <w:szCs w:val="24"/>
        </w:rPr>
      </w:pPr>
      <w:r w:rsidRPr="002B6139">
        <w:rPr>
          <w:rFonts w:asciiTheme="minorHAnsi" w:hAnsiTheme="minorHAnsi"/>
          <w:sz w:val="24"/>
          <w:szCs w:val="24"/>
        </w:rPr>
        <w:t xml:space="preserve">The type of damage </w:t>
      </w:r>
      <w:r w:rsidR="003653D2" w:rsidRPr="002B6139">
        <w:rPr>
          <w:rFonts w:asciiTheme="minorHAnsi" w:hAnsiTheme="minorHAnsi"/>
          <w:sz w:val="24"/>
          <w:szCs w:val="24"/>
        </w:rPr>
        <w:t xml:space="preserve">is </w:t>
      </w:r>
      <w:r w:rsidR="002E4C47" w:rsidRPr="002B6139">
        <w:rPr>
          <w:rFonts w:asciiTheme="minorHAnsi" w:hAnsiTheme="minorHAnsi"/>
          <w:sz w:val="24"/>
          <w:szCs w:val="24"/>
        </w:rPr>
        <w:t>suffered by the plaintiff is determined by the nature of that damage</w:t>
      </w:r>
      <w:r w:rsidR="00B37E41" w:rsidRPr="002B6139">
        <w:rPr>
          <w:rFonts w:asciiTheme="minorHAnsi" w:hAnsiTheme="minorHAnsi"/>
          <w:sz w:val="24"/>
          <w:szCs w:val="24"/>
        </w:rPr>
        <w:t>.</w:t>
      </w:r>
    </w:p>
    <w:p w14:paraId="4ED2C506" w14:textId="413F2EB7" w:rsidR="00B8136C" w:rsidRPr="002B6139" w:rsidRDefault="00B8136C" w:rsidP="004E5CC4">
      <w:pPr>
        <w:pStyle w:val="ListParagraph"/>
        <w:numPr>
          <w:ilvl w:val="1"/>
          <w:numId w:val="17"/>
        </w:numPr>
        <w:rPr>
          <w:rFonts w:asciiTheme="minorHAnsi" w:hAnsiTheme="minorHAnsi"/>
          <w:sz w:val="24"/>
          <w:szCs w:val="24"/>
        </w:rPr>
      </w:pPr>
      <w:r w:rsidRPr="002B6139">
        <w:rPr>
          <w:rFonts w:asciiTheme="minorHAnsi" w:hAnsiTheme="minorHAnsi"/>
          <w:sz w:val="24"/>
          <w:szCs w:val="24"/>
        </w:rPr>
        <w:t xml:space="preserve">The </w:t>
      </w:r>
      <w:r w:rsidR="00086129" w:rsidRPr="002B6139">
        <w:rPr>
          <w:rFonts w:asciiTheme="minorHAnsi" w:hAnsiTheme="minorHAnsi"/>
          <w:sz w:val="24"/>
          <w:szCs w:val="24"/>
        </w:rPr>
        <w:t>reasonable foreseeability of the particular risk</w:t>
      </w:r>
      <w:r w:rsidR="0004262F" w:rsidRPr="002B6139">
        <w:rPr>
          <w:rFonts w:asciiTheme="minorHAnsi" w:hAnsiTheme="minorHAnsi"/>
          <w:sz w:val="24"/>
          <w:szCs w:val="24"/>
        </w:rPr>
        <w:t xml:space="preserve"> and the probability of its occurrence</w:t>
      </w:r>
      <w:r w:rsidR="00086129" w:rsidRPr="002B6139">
        <w:rPr>
          <w:rFonts w:asciiTheme="minorHAnsi" w:hAnsiTheme="minorHAnsi"/>
          <w:sz w:val="24"/>
          <w:szCs w:val="24"/>
        </w:rPr>
        <w:t xml:space="preserve"> is determined by</w:t>
      </w:r>
      <w:r w:rsidR="0004262F" w:rsidRPr="002B6139">
        <w:rPr>
          <w:rFonts w:asciiTheme="minorHAnsi" w:hAnsiTheme="minorHAnsi"/>
          <w:sz w:val="24"/>
          <w:szCs w:val="24"/>
        </w:rPr>
        <w:t xml:space="preserve"> the reasonably foreseeable consequence</w:t>
      </w:r>
      <w:r w:rsidR="00B833FD" w:rsidRPr="002B6139">
        <w:rPr>
          <w:rFonts w:asciiTheme="minorHAnsi" w:hAnsiTheme="minorHAnsi"/>
          <w:sz w:val="24"/>
          <w:szCs w:val="24"/>
        </w:rPr>
        <w:t>s</w:t>
      </w:r>
      <w:r w:rsidR="0004262F" w:rsidRPr="002B6139">
        <w:rPr>
          <w:rFonts w:asciiTheme="minorHAnsi" w:hAnsiTheme="minorHAnsi"/>
          <w:sz w:val="24"/>
          <w:szCs w:val="24"/>
        </w:rPr>
        <w:t xml:space="preserve"> of the defendant’s act or omission in the circumstances.</w:t>
      </w:r>
      <w:r w:rsidR="00B82C24" w:rsidRPr="002B6139">
        <w:rPr>
          <w:rFonts w:asciiTheme="minorHAnsi" w:hAnsiTheme="minorHAnsi"/>
          <w:sz w:val="24"/>
          <w:szCs w:val="24"/>
        </w:rPr>
        <w:t xml:space="preserve"> This extends to the </w:t>
      </w:r>
      <w:r w:rsidR="007C2ED2" w:rsidRPr="002B6139">
        <w:rPr>
          <w:rFonts w:asciiTheme="minorHAnsi" w:hAnsiTheme="minorHAnsi"/>
          <w:sz w:val="24"/>
          <w:szCs w:val="24"/>
        </w:rPr>
        <w:t xml:space="preserve">reasonably foreseeable mechanisms or agencies by which </w:t>
      </w:r>
      <w:r w:rsidR="00B833FD" w:rsidRPr="002B6139">
        <w:rPr>
          <w:rFonts w:asciiTheme="minorHAnsi" w:hAnsiTheme="minorHAnsi"/>
          <w:sz w:val="24"/>
          <w:szCs w:val="24"/>
        </w:rPr>
        <w:t xml:space="preserve">the relevant type of </w:t>
      </w:r>
      <w:r w:rsidR="007C2ED2" w:rsidRPr="002B6139">
        <w:rPr>
          <w:rFonts w:asciiTheme="minorHAnsi" w:hAnsiTheme="minorHAnsi"/>
          <w:sz w:val="24"/>
          <w:szCs w:val="24"/>
        </w:rPr>
        <w:t>damage might be inflicted.</w:t>
      </w:r>
    </w:p>
    <w:p w14:paraId="3710FDEC" w14:textId="6A028E2C" w:rsidR="000838B9" w:rsidRPr="002B6139" w:rsidRDefault="000838B9" w:rsidP="004E5CC4">
      <w:pPr>
        <w:pStyle w:val="ListParagraph"/>
        <w:numPr>
          <w:ilvl w:val="1"/>
          <w:numId w:val="17"/>
        </w:numPr>
        <w:rPr>
          <w:rFonts w:asciiTheme="minorHAnsi" w:hAnsiTheme="minorHAnsi"/>
          <w:sz w:val="24"/>
          <w:szCs w:val="24"/>
        </w:rPr>
      </w:pPr>
      <w:r w:rsidRPr="002B6139">
        <w:rPr>
          <w:rFonts w:asciiTheme="minorHAnsi" w:hAnsiTheme="minorHAnsi"/>
          <w:sz w:val="24"/>
          <w:szCs w:val="24"/>
        </w:rPr>
        <w:t xml:space="preserve">The result is a risk description: </w:t>
      </w:r>
      <w:r w:rsidR="00C35BF6" w:rsidRPr="002B6139">
        <w:rPr>
          <w:rFonts w:asciiTheme="minorHAnsi" w:hAnsiTheme="minorHAnsi"/>
          <w:sz w:val="24"/>
          <w:szCs w:val="24"/>
        </w:rPr>
        <w:t xml:space="preserve">it is reasonably foreseeable that act or omission W will cause </w:t>
      </w:r>
      <w:r w:rsidR="00A61631" w:rsidRPr="002B6139">
        <w:rPr>
          <w:rFonts w:asciiTheme="minorHAnsi" w:hAnsiTheme="minorHAnsi"/>
          <w:sz w:val="24"/>
          <w:szCs w:val="24"/>
        </w:rPr>
        <w:t xml:space="preserve">type of damage X to class of plaintiffs </w:t>
      </w:r>
      <w:r w:rsidR="00360ABF" w:rsidRPr="002B6139">
        <w:rPr>
          <w:rFonts w:asciiTheme="minorHAnsi" w:hAnsiTheme="minorHAnsi"/>
          <w:sz w:val="24"/>
          <w:szCs w:val="24"/>
        </w:rPr>
        <w:t>Y by</w:t>
      </w:r>
      <w:r w:rsidR="006B0A54" w:rsidRPr="002B6139">
        <w:rPr>
          <w:rFonts w:asciiTheme="minorHAnsi" w:hAnsiTheme="minorHAnsi"/>
          <w:sz w:val="24"/>
          <w:szCs w:val="24"/>
        </w:rPr>
        <w:t xml:space="preserve"> </w:t>
      </w:r>
      <w:r w:rsidR="00C35BF6" w:rsidRPr="002B6139">
        <w:rPr>
          <w:rFonts w:asciiTheme="minorHAnsi" w:hAnsiTheme="minorHAnsi"/>
          <w:sz w:val="24"/>
          <w:szCs w:val="24"/>
        </w:rPr>
        <w:t xml:space="preserve">mechanism of </w:t>
      </w:r>
      <w:r w:rsidR="006B0A54" w:rsidRPr="002B6139">
        <w:rPr>
          <w:rFonts w:asciiTheme="minorHAnsi" w:hAnsiTheme="minorHAnsi"/>
          <w:sz w:val="24"/>
          <w:szCs w:val="24"/>
        </w:rPr>
        <w:t>damage Z.</w:t>
      </w:r>
    </w:p>
    <w:p w14:paraId="4789878E" w14:textId="357F7382" w:rsidR="00225630" w:rsidRPr="002B6139" w:rsidRDefault="00225630" w:rsidP="004E5CC4">
      <w:pPr>
        <w:pStyle w:val="ListParagraph"/>
        <w:numPr>
          <w:ilvl w:val="0"/>
          <w:numId w:val="17"/>
        </w:numPr>
        <w:rPr>
          <w:rFonts w:asciiTheme="minorHAnsi" w:hAnsiTheme="minorHAnsi"/>
          <w:sz w:val="24"/>
          <w:szCs w:val="24"/>
        </w:rPr>
      </w:pPr>
      <w:r w:rsidRPr="002B6139">
        <w:rPr>
          <w:rFonts w:asciiTheme="minorHAnsi" w:hAnsiTheme="minorHAnsi"/>
          <w:sz w:val="24"/>
          <w:szCs w:val="24"/>
        </w:rPr>
        <w:t>An unreasonable risk</w:t>
      </w:r>
      <w:r w:rsidR="00CB6D8D" w:rsidRPr="002B6139">
        <w:rPr>
          <w:rFonts w:asciiTheme="minorHAnsi" w:hAnsiTheme="minorHAnsi"/>
          <w:sz w:val="24"/>
          <w:szCs w:val="24"/>
        </w:rPr>
        <w:t xml:space="preserve"> is</w:t>
      </w:r>
      <w:r w:rsidR="00B26E26" w:rsidRPr="002B6139">
        <w:rPr>
          <w:rFonts w:asciiTheme="minorHAnsi" w:hAnsiTheme="minorHAnsi"/>
          <w:sz w:val="24"/>
          <w:szCs w:val="24"/>
        </w:rPr>
        <w:t xml:space="preserve"> a risk that, under the applicable standard of care, is reasonably foreseeable to the defendant in the circumstances</w:t>
      </w:r>
      <w:r w:rsidR="009A3852" w:rsidRPr="002B6139">
        <w:rPr>
          <w:rFonts w:asciiTheme="minorHAnsi" w:hAnsiTheme="minorHAnsi"/>
          <w:sz w:val="24"/>
          <w:szCs w:val="24"/>
        </w:rPr>
        <w:t>,</w:t>
      </w:r>
      <w:r w:rsidR="00B26E26" w:rsidRPr="002B6139">
        <w:rPr>
          <w:rFonts w:asciiTheme="minorHAnsi" w:hAnsiTheme="minorHAnsi"/>
          <w:sz w:val="24"/>
          <w:szCs w:val="24"/>
        </w:rPr>
        <w:t xml:space="preserve"> and </w:t>
      </w:r>
      <w:r w:rsidR="00114680" w:rsidRPr="002B6139">
        <w:rPr>
          <w:rFonts w:asciiTheme="minorHAnsi" w:hAnsiTheme="minorHAnsi"/>
          <w:sz w:val="24"/>
          <w:szCs w:val="24"/>
        </w:rPr>
        <w:t xml:space="preserve">is either </w:t>
      </w:r>
      <w:r w:rsidR="00963DC3" w:rsidRPr="002B6139">
        <w:rPr>
          <w:rFonts w:asciiTheme="minorHAnsi" w:hAnsiTheme="minorHAnsi"/>
          <w:sz w:val="24"/>
          <w:szCs w:val="24"/>
        </w:rPr>
        <w:t xml:space="preserve">a </w:t>
      </w:r>
      <w:r w:rsidR="00114680" w:rsidRPr="002B6139">
        <w:rPr>
          <w:rFonts w:asciiTheme="minorHAnsi" w:hAnsiTheme="minorHAnsi"/>
          <w:sz w:val="24"/>
          <w:szCs w:val="24"/>
        </w:rPr>
        <w:t>substantially probable</w:t>
      </w:r>
      <w:r w:rsidR="00963DC3" w:rsidRPr="002B6139">
        <w:rPr>
          <w:rFonts w:asciiTheme="minorHAnsi" w:hAnsiTheme="minorHAnsi"/>
          <w:sz w:val="24"/>
          <w:szCs w:val="24"/>
        </w:rPr>
        <w:t xml:space="preserve"> risk</w:t>
      </w:r>
      <w:r w:rsidR="009A3852" w:rsidRPr="002B6139">
        <w:rPr>
          <w:rFonts w:asciiTheme="minorHAnsi" w:hAnsiTheme="minorHAnsi"/>
          <w:sz w:val="24"/>
          <w:szCs w:val="24"/>
        </w:rPr>
        <w:t>,</w:t>
      </w:r>
      <w:r w:rsidR="00114680" w:rsidRPr="002B6139">
        <w:rPr>
          <w:rFonts w:asciiTheme="minorHAnsi" w:hAnsiTheme="minorHAnsi"/>
          <w:sz w:val="24"/>
          <w:szCs w:val="24"/>
        </w:rPr>
        <w:t xml:space="preserve"> or an infinitesimally probable risk</w:t>
      </w:r>
      <w:r w:rsidR="006D6687" w:rsidRPr="002B6139">
        <w:rPr>
          <w:rFonts w:asciiTheme="minorHAnsi" w:hAnsiTheme="minorHAnsi"/>
          <w:sz w:val="24"/>
          <w:szCs w:val="24"/>
        </w:rPr>
        <w:t xml:space="preserve"> which</w:t>
      </w:r>
      <w:r w:rsidR="009A3852" w:rsidRPr="002B6139">
        <w:rPr>
          <w:rFonts w:asciiTheme="minorHAnsi" w:hAnsiTheme="minorHAnsi"/>
          <w:sz w:val="24"/>
          <w:szCs w:val="24"/>
        </w:rPr>
        <w:t xml:space="preserve"> a</w:t>
      </w:r>
      <w:r w:rsidR="00BA09B5" w:rsidRPr="002B6139">
        <w:rPr>
          <w:rFonts w:asciiTheme="minorHAnsi" w:hAnsiTheme="minorHAnsi"/>
          <w:sz w:val="24"/>
          <w:szCs w:val="24"/>
        </w:rPr>
        <w:t xml:space="preserve"> reasonable person </w:t>
      </w:r>
      <w:r w:rsidR="007C1E0E" w:rsidRPr="002B6139">
        <w:rPr>
          <w:rFonts w:asciiTheme="minorHAnsi" w:hAnsiTheme="minorHAnsi"/>
          <w:sz w:val="24"/>
          <w:szCs w:val="24"/>
        </w:rPr>
        <w:t>could not justifiably disregard</w:t>
      </w:r>
      <w:r w:rsidR="00BA09B5" w:rsidRPr="002B6139">
        <w:rPr>
          <w:rFonts w:asciiTheme="minorHAnsi" w:hAnsiTheme="minorHAnsi"/>
          <w:sz w:val="24"/>
          <w:szCs w:val="24"/>
        </w:rPr>
        <w:t>.</w:t>
      </w:r>
      <w:r w:rsidR="004F0964" w:rsidRPr="002B6139">
        <w:rPr>
          <w:rFonts w:asciiTheme="minorHAnsi" w:hAnsiTheme="minorHAnsi"/>
          <w:sz w:val="24"/>
          <w:szCs w:val="24"/>
        </w:rPr>
        <w:t xml:space="preserve"> (</w:t>
      </w:r>
      <w:r w:rsidR="004F0964" w:rsidRPr="002B6139">
        <w:rPr>
          <w:rFonts w:asciiTheme="minorHAnsi" w:hAnsiTheme="minorHAnsi"/>
          <w:i/>
          <w:iCs/>
          <w:sz w:val="24"/>
          <w:szCs w:val="24"/>
        </w:rPr>
        <w:t>Bolton</w:t>
      </w:r>
      <w:r w:rsidR="004F0964" w:rsidRPr="002B6139">
        <w:rPr>
          <w:rFonts w:asciiTheme="minorHAnsi" w:hAnsiTheme="minorHAnsi"/>
          <w:sz w:val="24"/>
          <w:szCs w:val="24"/>
        </w:rPr>
        <w:t xml:space="preserve">, </w:t>
      </w:r>
      <w:r w:rsidR="004F0964" w:rsidRPr="002B6139">
        <w:rPr>
          <w:rFonts w:asciiTheme="minorHAnsi" w:hAnsiTheme="minorHAnsi"/>
          <w:i/>
          <w:iCs/>
          <w:sz w:val="24"/>
          <w:szCs w:val="24"/>
        </w:rPr>
        <w:t>Wagon Mound No</w:t>
      </w:r>
      <w:r w:rsidR="004F0964" w:rsidRPr="002B6139">
        <w:rPr>
          <w:rFonts w:asciiTheme="minorHAnsi" w:hAnsiTheme="minorHAnsi"/>
          <w:sz w:val="24"/>
          <w:szCs w:val="24"/>
        </w:rPr>
        <w:t xml:space="preserve"> </w:t>
      </w:r>
      <w:r w:rsidR="004F0964" w:rsidRPr="002B6139">
        <w:rPr>
          <w:rFonts w:asciiTheme="minorHAnsi" w:hAnsiTheme="minorHAnsi"/>
          <w:i/>
          <w:iCs/>
          <w:sz w:val="24"/>
          <w:szCs w:val="24"/>
        </w:rPr>
        <w:t>2</w:t>
      </w:r>
      <w:r w:rsidR="004F0964" w:rsidRPr="002B6139">
        <w:rPr>
          <w:rFonts w:asciiTheme="minorHAnsi" w:hAnsiTheme="minorHAnsi"/>
          <w:sz w:val="24"/>
          <w:szCs w:val="24"/>
        </w:rPr>
        <w:t>)</w:t>
      </w:r>
    </w:p>
    <w:p w14:paraId="76BE1B41" w14:textId="1EC75CFF" w:rsidR="00010F8B" w:rsidRPr="002B6139" w:rsidRDefault="00010F8B" w:rsidP="00290F5A">
      <w:pPr>
        <w:pStyle w:val="ListParagraph"/>
        <w:numPr>
          <w:ilvl w:val="1"/>
          <w:numId w:val="17"/>
        </w:numPr>
        <w:rPr>
          <w:rFonts w:asciiTheme="minorHAnsi" w:hAnsiTheme="minorHAnsi"/>
          <w:sz w:val="24"/>
          <w:szCs w:val="24"/>
        </w:rPr>
      </w:pPr>
      <w:r w:rsidRPr="002B6139">
        <w:rPr>
          <w:rFonts w:asciiTheme="minorHAnsi" w:hAnsiTheme="minorHAnsi"/>
          <w:sz w:val="24"/>
          <w:szCs w:val="24"/>
        </w:rPr>
        <w:t>A defendant who creates an unreasonable risk breaches the applicable standard of care. (</w:t>
      </w:r>
      <w:r w:rsidRPr="002B6139">
        <w:rPr>
          <w:rFonts w:asciiTheme="minorHAnsi" w:hAnsiTheme="minorHAnsi"/>
          <w:i/>
          <w:iCs/>
          <w:sz w:val="24"/>
          <w:szCs w:val="24"/>
        </w:rPr>
        <w:t>Bolton</w:t>
      </w:r>
      <w:r w:rsidR="00290F5A" w:rsidRPr="002B6139">
        <w:rPr>
          <w:rFonts w:asciiTheme="minorHAnsi" w:hAnsiTheme="minorHAnsi"/>
          <w:sz w:val="24"/>
          <w:szCs w:val="24"/>
        </w:rPr>
        <w:t>)</w:t>
      </w:r>
    </w:p>
    <w:p w14:paraId="383CA4E2" w14:textId="69CD9ADB" w:rsidR="006143ED" w:rsidRPr="002B6139" w:rsidRDefault="00C55C90" w:rsidP="00C82E49">
      <w:pPr>
        <w:pStyle w:val="ListParagraph"/>
        <w:numPr>
          <w:ilvl w:val="0"/>
          <w:numId w:val="17"/>
        </w:numPr>
        <w:rPr>
          <w:rFonts w:asciiTheme="minorHAnsi" w:hAnsiTheme="minorHAnsi"/>
          <w:sz w:val="24"/>
          <w:szCs w:val="24"/>
        </w:rPr>
      </w:pPr>
      <w:r w:rsidRPr="002B6139">
        <w:rPr>
          <w:rFonts w:asciiTheme="minorHAnsi" w:hAnsiTheme="minorHAnsi"/>
          <w:sz w:val="24"/>
          <w:szCs w:val="24"/>
        </w:rPr>
        <w:t>Given the applicable standard of care, i</w:t>
      </w:r>
      <w:r w:rsidR="00A91161" w:rsidRPr="002B6139">
        <w:rPr>
          <w:rFonts w:asciiTheme="minorHAnsi" w:hAnsiTheme="minorHAnsi"/>
          <w:sz w:val="24"/>
          <w:szCs w:val="24"/>
        </w:rPr>
        <w:t>s the</w:t>
      </w:r>
      <w:r w:rsidR="00D37738" w:rsidRPr="002B6139">
        <w:rPr>
          <w:rFonts w:asciiTheme="minorHAnsi" w:hAnsiTheme="minorHAnsi"/>
          <w:sz w:val="24"/>
          <w:szCs w:val="24"/>
        </w:rPr>
        <w:t xml:space="preserve"> risk </w:t>
      </w:r>
      <w:r w:rsidR="00A91161" w:rsidRPr="002B6139">
        <w:rPr>
          <w:rFonts w:asciiTheme="minorHAnsi" w:hAnsiTheme="minorHAnsi"/>
          <w:sz w:val="24"/>
          <w:szCs w:val="24"/>
        </w:rPr>
        <w:t>reasonably foreseeable to the defendant?</w:t>
      </w:r>
      <w:r w:rsidR="00D37738" w:rsidRPr="002B6139">
        <w:rPr>
          <w:rFonts w:asciiTheme="minorHAnsi" w:hAnsiTheme="minorHAnsi"/>
          <w:sz w:val="24"/>
          <w:szCs w:val="24"/>
        </w:rPr>
        <w:t xml:space="preserve"> (</w:t>
      </w:r>
      <w:r w:rsidR="00D37738" w:rsidRPr="002B6139">
        <w:rPr>
          <w:rFonts w:asciiTheme="minorHAnsi" w:hAnsiTheme="minorHAnsi"/>
          <w:i/>
          <w:iCs/>
          <w:sz w:val="24"/>
          <w:szCs w:val="24"/>
        </w:rPr>
        <w:t>Bolton</w:t>
      </w:r>
      <w:r w:rsidR="00D37738" w:rsidRPr="002B6139">
        <w:rPr>
          <w:rFonts w:asciiTheme="minorHAnsi" w:hAnsiTheme="minorHAnsi"/>
          <w:sz w:val="24"/>
          <w:szCs w:val="24"/>
        </w:rPr>
        <w:t>)</w:t>
      </w:r>
    </w:p>
    <w:p w14:paraId="2D26AD0D" w14:textId="21E1D3EC" w:rsidR="00002419" w:rsidRPr="002B6139" w:rsidRDefault="00002419" w:rsidP="00002419">
      <w:pPr>
        <w:pStyle w:val="ListParagraph"/>
        <w:numPr>
          <w:ilvl w:val="1"/>
          <w:numId w:val="17"/>
        </w:numPr>
        <w:rPr>
          <w:rFonts w:asciiTheme="minorHAnsi" w:hAnsiTheme="minorHAnsi"/>
          <w:sz w:val="24"/>
          <w:szCs w:val="24"/>
        </w:rPr>
      </w:pPr>
      <w:r w:rsidRPr="002B6139">
        <w:rPr>
          <w:rFonts w:asciiTheme="minorHAnsi" w:hAnsiTheme="minorHAnsi"/>
          <w:sz w:val="24"/>
          <w:szCs w:val="24"/>
        </w:rPr>
        <w:t>In other words, is</w:t>
      </w:r>
      <w:r w:rsidR="008F69D8" w:rsidRPr="002B6139">
        <w:rPr>
          <w:rFonts w:asciiTheme="minorHAnsi" w:hAnsiTheme="minorHAnsi"/>
          <w:sz w:val="24"/>
          <w:szCs w:val="24"/>
        </w:rPr>
        <w:t xml:space="preserve"> it reasonably foreseeable </w:t>
      </w:r>
      <w:r w:rsidR="009B25CF" w:rsidRPr="002B6139">
        <w:rPr>
          <w:rFonts w:asciiTheme="minorHAnsi" w:hAnsiTheme="minorHAnsi"/>
          <w:sz w:val="24"/>
          <w:szCs w:val="24"/>
        </w:rPr>
        <w:t xml:space="preserve">to the defendant </w:t>
      </w:r>
      <w:r w:rsidR="00C55C90" w:rsidRPr="002B6139">
        <w:rPr>
          <w:rFonts w:asciiTheme="minorHAnsi" w:hAnsiTheme="minorHAnsi"/>
          <w:sz w:val="24"/>
          <w:szCs w:val="24"/>
        </w:rPr>
        <w:t xml:space="preserve">that </w:t>
      </w:r>
      <w:r w:rsidR="00650DF4" w:rsidRPr="002B6139">
        <w:rPr>
          <w:rFonts w:asciiTheme="minorHAnsi" w:hAnsiTheme="minorHAnsi"/>
          <w:sz w:val="24"/>
          <w:szCs w:val="24"/>
        </w:rPr>
        <w:t xml:space="preserve">the </w:t>
      </w:r>
      <w:r w:rsidR="008F69D8" w:rsidRPr="002B6139">
        <w:rPr>
          <w:rFonts w:asciiTheme="minorHAnsi" w:hAnsiTheme="minorHAnsi"/>
          <w:sz w:val="24"/>
          <w:szCs w:val="24"/>
        </w:rPr>
        <w:t xml:space="preserve">act or omission X </w:t>
      </w:r>
      <w:r w:rsidR="00A451EC" w:rsidRPr="002B6139">
        <w:rPr>
          <w:rFonts w:asciiTheme="minorHAnsi" w:hAnsiTheme="minorHAnsi"/>
          <w:sz w:val="24"/>
          <w:szCs w:val="24"/>
        </w:rPr>
        <w:t>will</w:t>
      </w:r>
      <w:r w:rsidR="008F69D8" w:rsidRPr="002B6139">
        <w:rPr>
          <w:rFonts w:asciiTheme="minorHAnsi" w:hAnsiTheme="minorHAnsi"/>
          <w:sz w:val="24"/>
          <w:szCs w:val="24"/>
        </w:rPr>
        <w:t xml:space="preserve"> result in </w:t>
      </w:r>
      <w:r w:rsidR="00650DF4" w:rsidRPr="002B6139">
        <w:rPr>
          <w:rFonts w:asciiTheme="minorHAnsi" w:hAnsiTheme="minorHAnsi"/>
          <w:sz w:val="24"/>
          <w:szCs w:val="24"/>
        </w:rPr>
        <w:t xml:space="preserve">the </w:t>
      </w:r>
      <w:r w:rsidR="008F69D8" w:rsidRPr="002B6139">
        <w:rPr>
          <w:rFonts w:asciiTheme="minorHAnsi" w:hAnsiTheme="minorHAnsi"/>
          <w:sz w:val="24"/>
          <w:szCs w:val="24"/>
        </w:rPr>
        <w:t xml:space="preserve">type of damage Y to </w:t>
      </w:r>
      <w:r w:rsidR="00650DF4" w:rsidRPr="002B6139">
        <w:rPr>
          <w:rFonts w:asciiTheme="minorHAnsi" w:hAnsiTheme="minorHAnsi"/>
          <w:sz w:val="24"/>
          <w:szCs w:val="24"/>
        </w:rPr>
        <w:t xml:space="preserve">the </w:t>
      </w:r>
      <w:r w:rsidR="008F69D8" w:rsidRPr="002B6139">
        <w:rPr>
          <w:rFonts w:asciiTheme="minorHAnsi" w:hAnsiTheme="minorHAnsi"/>
          <w:sz w:val="24"/>
          <w:szCs w:val="24"/>
        </w:rPr>
        <w:t>class of plaintiffs Z</w:t>
      </w:r>
      <w:r w:rsidR="00C757B8" w:rsidRPr="002B6139">
        <w:rPr>
          <w:rFonts w:asciiTheme="minorHAnsi" w:hAnsiTheme="minorHAnsi"/>
          <w:sz w:val="24"/>
          <w:szCs w:val="24"/>
        </w:rPr>
        <w:t>?</w:t>
      </w:r>
    </w:p>
    <w:p w14:paraId="60C1A349" w14:textId="24A4404B" w:rsidR="00A451EC" w:rsidRPr="002B6139" w:rsidRDefault="00A451EC" w:rsidP="00A451EC">
      <w:pPr>
        <w:pStyle w:val="ListParagraph"/>
        <w:numPr>
          <w:ilvl w:val="2"/>
          <w:numId w:val="17"/>
        </w:numPr>
        <w:rPr>
          <w:rFonts w:asciiTheme="minorHAnsi" w:hAnsiTheme="minorHAnsi"/>
          <w:sz w:val="24"/>
          <w:szCs w:val="24"/>
        </w:rPr>
      </w:pPr>
      <w:r w:rsidRPr="002B6139">
        <w:rPr>
          <w:rFonts w:asciiTheme="minorHAnsi" w:hAnsiTheme="minorHAnsi"/>
          <w:sz w:val="24"/>
          <w:szCs w:val="24"/>
        </w:rPr>
        <w:t xml:space="preserve">You </w:t>
      </w:r>
      <w:r w:rsidR="00360ABF" w:rsidRPr="002B6139">
        <w:rPr>
          <w:rFonts w:asciiTheme="minorHAnsi" w:hAnsiTheme="minorHAnsi"/>
          <w:sz w:val="24"/>
          <w:szCs w:val="24"/>
        </w:rPr>
        <w:t>must</w:t>
      </w:r>
      <w:r w:rsidRPr="002B6139">
        <w:rPr>
          <w:rFonts w:asciiTheme="minorHAnsi" w:hAnsiTheme="minorHAnsi"/>
          <w:sz w:val="24"/>
          <w:szCs w:val="24"/>
        </w:rPr>
        <w:t xml:space="preserve"> ask what reasonably foreseeable chain of causes gets you from act or omission X to the infliction of the type of damage Y </w:t>
      </w:r>
      <w:r w:rsidR="00360ABF" w:rsidRPr="002B6139">
        <w:rPr>
          <w:rFonts w:asciiTheme="minorHAnsi" w:hAnsiTheme="minorHAnsi"/>
          <w:sz w:val="24"/>
          <w:szCs w:val="24"/>
        </w:rPr>
        <w:t>on</w:t>
      </w:r>
      <w:r w:rsidRPr="002B6139">
        <w:rPr>
          <w:rFonts w:asciiTheme="minorHAnsi" w:hAnsiTheme="minorHAnsi"/>
          <w:sz w:val="24"/>
          <w:szCs w:val="24"/>
        </w:rPr>
        <w:t xml:space="preserve"> the class of plaintiffs Z.</w:t>
      </w:r>
    </w:p>
    <w:p w14:paraId="31A03E72" w14:textId="77777777" w:rsidR="00CE797B" w:rsidRPr="002B6139" w:rsidRDefault="00CE797B" w:rsidP="00CE797B">
      <w:pPr>
        <w:pStyle w:val="ListParagraph"/>
        <w:numPr>
          <w:ilvl w:val="1"/>
          <w:numId w:val="17"/>
        </w:numPr>
        <w:rPr>
          <w:sz w:val="24"/>
          <w:szCs w:val="24"/>
        </w:rPr>
      </w:pPr>
      <w:r w:rsidRPr="002B6139">
        <w:rPr>
          <w:b/>
          <w:bCs/>
          <w:sz w:val="24"/>
          <w:szCs w:val="24"/>
        </w:rPr>
        <w:t>A risk is not reasonably foreseeable if it is so improbable that it is a “fantastic” possibility or if it is physically impossible.</w:t>
      </w:r>
      <w:r w:rsidRPr="002B6139">
        <w:rPr>
          <w:sz w:val="24"/>
          <w:szCs w:val="24"/>
        </w:rPr>
        <w:t xml:space="preserve"> (Bolton)</w:t>
      </w:r>
    </w:p>
    <w:p w14:paraId="6B886CDC" w14:textId="77777777" w:rsidR="00CE797B" w:rsidRPr="002B6139" w:rsidRDefault="00CE797B" w:rsidP="00CE797B">
      <w:pPr>
        <w:pStyle w:val="ListParagraph"/>
        <w:numPr>
          <w:ilvl w:val="1"/>
          <w:numId w:val="17"/>
        </w:numPr>
        <w:rPr>
          <w:sz w:val="24"/>
          <w:szCs w:val="24"/>
        </w:rPr>
      </w:pPr>
      <w:r w:rsidRPr="002B6139">
        <w:rPr>
          <w:sz w:val="24"/>
          <w:szCs w:val="24"/>
        </w:rPr>
        <w:lastRenderedPageBreak/>
        <w:t>Reasonable persons account for typical individuals and atypical individuals who are atypical in typical ways. (Paris v Stepney 1951 UK)</w:t>
      </w:r>
    </w:p>
    <w:p w14:paraId="3FEE542B" w14:textId="246535A4" w:rsidR="0085113A" w:rsidRPr="002B6139" w:rsidRDefault="000213DD" w:rsidP="003F004B">
      <w:pPr>
        <w:pStyle w:val="ListParagraph"/>
        <w:numPr>
          <w:ilvl w:val="0"/>
          <w:numId w:val="17"/>
        </w:numPr>
        <w:rPr>
          <w:rFonts w:asciiTheme="minorHAnsi" w:hAnsiTheme="minorHAnsi"/>
          <w:sz w:val="24"/>
          <w:szCs w:val="24"/>
        </w:rPr>
      </w:pPr>
      <w:r w:rsidRPr="002B6139">
        <w:rPr>
          <w:rFonts w:asciiTheme="minorHAnsi" w:hAnsiTheme="minorHAnsi"/>
          <w:sz w:val="24"/>
          <w:szCs w:val="24"/>
        </w:rPr>
        <w:t>A substantial</w:t>
      </w:r>
      <w:r w:rsidR="0081581D" w:rsidRPr="002B6139">
        <w:rPr>
          <w:rFonts w:asciiTheme="minorHAnsi" w:hAnsiTheme="minorHAnsi"/>
          <w:sz w:val="24"/>
          <w:szCs w:val="24"/>
        </w:rPr>
        <w:t>ly</w:t>
      </w:r>
      <w:r w:rsidRPr="002B6139">
        <w:rPr>
          <w:rFonts w:asciiTheme="minorHAnsi" w:hAnsiTheme="minorHAnsi"/>
          <w:sz w:val="24"/>
          <w:szCs w:val="24"/>
        </w:rPr>
        <w:t xml:space="preserve"> </w:t>
      </w:r>
      <w:r w:rsidR="0081581D" w:rsidRPr="002B6139">
        <w:rPr>
          <w:rFonts w:asciiTheme="minorHAnsi" w:hAnsiTheme="minorHAnsi"/>
          <w:sz w:val="24"/>
          <w:szCs w:val="24"/>
        </w:rPr>
        <w:t>probable risk</w:t>
      </w:r>
      <w:r w:rsidR="00BB0D8C" w:rsidRPr="002B6139">
        <w:rPr>
          <w:rFonts w:asciiTheme="minorHAnsi" w:hAnsiTheme="minorHAnsi"/>
          <w:sz w:val="24"/>
          <w:szCs w:val="24"/>
        </w:rPr>
        <w:t xml:space="preserve"> (</w:t>
      </w:r>
      <w:r w:rsidR="00BB0D8C" w:rsidRPr="002B6139">
        <w:rPr>
          <w:rFonts w:asciiTheme="minorHAnsi" w:hAnsiTheme="minorHAnsi"/>
          <w:i/>
          <w:iCs/>
          <w:sz w:val="24"/>
          <w:szCs w:val="24"/>
        </w:rPr>
        <w:t>Bolton</w:t>
      </w:r>
      <w:r w:rsidR="00BB0D8C" w:rsidRPr="002B6139">
        <w:rPr>
          <w:rFonts w:asciiTheme="minorHAnsi" w:hAnsiTheme="minorHAnsi"/>
          <w:sz w:val="24"/>
          <w:szCs w:val="24"/>
        </w:rPr>
        <w:t>)</w:t>
      </w:r>
      <w:r w:rsidR="008664F8" w:rsidRPr="002B6139">
        <w:rPr>
          <w:rFonts w:asciiTheme="minorHAnsi" w:hAnsiTheme="minorHAnsi"/>
          <w:sz w:val="24"/>
          <w:szCs w:val="24"/>
        </w:rPr>
        <w:t>; or</w:t>
      </w:r>
      <w:r w:rsidR="00984C20" w:rsidRPr="002B6139">
        <w:rPr>
          <w:rFonts w:asciiTheme="minorHAnsi" w:hAnsiTheme="minorHAnsi"/>
          <w:sz w:val="24"/>
          <w:szCs w:val="24"/>
        </w:rPr>
        <w:t xml:space="preserve"> </w:t>
      </w:r>
    </w:p>
    <w:p w14:paraId="05E7E2E1" w14:textId="20C26558" w:rsidR="00105D14" w:rsidRPr="002B6139" w:rsidRDefault="001706FB" w:rsidP="00306CC9">
      <w:pPr>
        <w:pStyle w:val="ListParagraph"/>
        <w:numPr>
          <w:ilvl w:val="1"/>
          <w:numId w:val="17"/>
        </w:numPr>
        <w:rPr>
          <w:sz w:val="24"/>
          <w:szCs w:val="24"/>
        </w:rPr>
      </w:pPr>
      <w:r w:rsidRPr="002B6139">
        <w:rPr>
          <w:sz w:val="24"/>
          <w:szCs w:val="24"/>
        </w:rPr>
        <w:t>Creating a reasonably foreseeable and substantially probable risk breaches the standard of care. (</w:t>
      </w:r>
      <w:r w:rsidRPr="002B6139">
        <w:rPr>
          <w:i/>
          <w:iCs/>
          <w:sz w:val="24"/>
          <w:szCs w:val="24"/>
        </w:rPr>
        <w:t>Bolton</w:t>
      </w:r>
      <w:r w:rsidRPr="002B6139">
        <w:rPr>
          <w:sz w:val="24"/>
          <w:szCs w:val="24"/>
        </w:rPr>
        <w:t>)</w:t>
      </w:r>
    </w:p>
    <w:p w14:paraId="05FBD5D0" w14:textId="19F277BA" w:rsidR="00306CC9" w:rsidRPr="002B6139" w:rsidRDefault="00306CC9" w:rsidP="00306CC9">
      <w:pPr>
        <w:pStyle w:val="ListParagraph"/>
        <w:numPr>
          <w:ilvl w:val="1"/>
          <w:numId w:val="17"/>
        </w:numPr>
        <w:rPr>
          <w:sz w:val="24"/>
          <w:szCs w:val="24"/>
        </w:rPr>
      </w:pPr>
      <w:r w:rsidRPr="002B6139">
        <w:rPr>
          <w:b/>
          <w:bCs/>
          <w:sz w:val="24"/>
          <w:szCs w:val="24"/>
        </w:rPr>
        <w:t>The cost of precautions is irrelevant to whether a reasonable person would act to prevent the occurrence of a risk which is both reasonably foreseeable and substantially probable.</w:t>
      </w:r>
      <w:r w:rsidRPr="002B6139">
        <w:rPr>
          <w:sz w:val="24"/>
          <w:szCs w:val="24"/>
        </w:rPr>
        <w:t xml:space="preserve"> (Bolton)</w:t>
      </w:r>
    </w:p>
    <w:p w14:paraId="294632C7" w14:textId="77777777" w:rsidR="00306CC9" w:rsidRPr="002B6139" w:rsidRDefault="00306CC9" w:rsidP="00306CC9">
      <w:pPr>
        <w:pStyle w:val="ListParagraph"/>
        <w:numPr>
          <w:ilvl w:val="1"/>
          <w:numId w:val="17"/>
        </w:numPr>
        <w:rPr>
          <w:sz w:val="24"/>
          <w:szCs w:val="24"/>
        </w:rPr>
      </w:pPr>
      <w:r w:rsidRPr="002B6139">
        <w:rPr>
          <w:b/>
          <w:bCs/>
          <w:sz w:val="24"/>
          <w:szCs w:val="24"/>
        </w:rPr>
        <w:t>“The saving of life or limb justifies taking considerable risk…”</w:t>
      </w:r>
      <w:r w:rsidRPr="002B6139">
        <w:rPr>
          <w:sz w:val="24"/>
          <w:szCs w:val="24"/>
        </w:rPr>
        <w:t xml:space="preserve"> (Denning in Watt 1954 UKCA)</w:t>
      </w:r>
    </w:p>
    <w:p w14:paraId="2C103CDE" w14:textId="7A11FDC8" w:rsidR="00306CC9" w:rsidRPr="002B6139" w:rsidRDefault="00306CC9" w:rsidP="00306CC9">
      <w:pPr>
        <w:pStyle w:val="ListParagraph"/>
        <w:numPr>
          <w:ilvl w:val="1"/>
          <w:numId w:val="17"/>
        </w:numPr>
        <w:rPr>
          <w:sz w:val="24"/>
          <w:szCs w:val="24"/>
        </w:rPr>
      </w:pPr>
      <w:r w:rsidRPr="002B6139">
        <w:rPr>
          <w:sz w:val="24"/>
          <w:szCs w:val="24"/>
        </w:rPr>
        <w:t>Social utility of the activity may justify not preventing a risk in the context of employment in a dangerous but socially beneficial occupation such as a firefighter or police officer. (Watt)</w:t>
      </w:r>
    </w:p>
    <w:p w14:paraId="4F6967A8" w14:textId="35C991F9" w:rsidR="00192CDA" w:rsidRPr="002B6139" w:rsidRDefault="006143ED" w:rsidP="003F004B">
      <w:pPr>
        <w:pStyle w:val="ListParagraph"/>
        <w:numPr>
          <w:ilvl w:val="0"/>
          <w:numId w:val="17"/>
        </w:numPr>
        <w:rPr>
          <w:rFonts w:asciiTheme="minorHAnsi" w:hAnsiTheme="minorHAnsi"/>
          <w:sz w:val="24"/>
          <w:szCs w:val="24"/>
        </w:rPr>
      </w:pPr>
      <w:r w:rsidRPr="002B6139">
        <w:rPr>
          <w:rFonts w:asciiTheme="minorHAnsi" w:hAnsiTheme="minorHAnsi"/>
          <w:sz w:val="24"/>
          <w:szCs w:val="24"/>
        </w:rPr>
        <w:t>An infinitesimal</w:t>
      </w:r>
      <w:r w:rsidR="0081581D" w:rsidRPr="002B6139">
        <w:rPr>
          <w:rFonts w:asciiTheme="minorHAnsi" w:hAnsiTheme="minorHAnsi"/>
          <w:sz w:val="24"/>
          <w:szCs w:val="24"/>
        </w:rPr>
        <w:t>ly</w:t>
      </w:r>
      <w:r w:rsidRPr="002B6139">
        <w:rPr>
          <w:rFonts w:asciiTheme="minorHAnsi" w:hAnsiTheme="minorHAnsi"/>
          <w:sz w:val="24"/>
          <w:szCs w:val="24"/>
        </w:rPr>
        <w:t xml:space="preserve"> probab</w:t>
      </w:r>
      <w:r w:rsidR="0081581D" w:rsidRPr="002B6139">
        <w:rPr>
          <w:rFonts w:asciiTheme="minorHAnsi" w:hAnsiTheme="minorHAnsi"/>
          <w:sz w:val="24"/>
          <w:szCs w:val="24"/>
        </w:rPr>
        <w:t>le risk</w:t>
      </w:r>
      <w:r w:rsidR="008C5CCC" w:rsidRPr="002B6139">
        <w:rPr>
          <w:rFonts w:asciiTheme="minorHAnsi" w:hAnsiTheme="minorHAnsi"/>
          <w:sz w:val="24"/>
          <w:szCs w:val="24"/>
        </w:rPr>
        <w:t xml:space="preserve"> </w:t>
      </w:r>
      <w:r w:rsidR="00B93412" w:rsidRPr="002B6139">
        <w:rPr>
          <w:rFonts w:asciiTheme="minorHAnsi" w:hAnsiTheme="minorHAnsi"/>
          <w:sz w:val="24"/>
          <w:szCs w:val="24"/>
        </w:rPr>
        <w:t>that a reasonable person would act to prevent.</w:t>
      </w:r>
      <w:r w:rsidR="000951BB" w:rsidRPr="002B6139">
        <w:rPr>
          <w:rFonts w:asciiTheme="minorHAnsi" w:hAnsiTheme="minorHAnsi"/>
          <w:sz w:val="24"/>
          <w:szCs w:val="24"/>
        </w:rPr>
        <w:t xml:space="preserve"> (</w:t>
      </w:r>
      <w:r w:rsidR="000951BB" w:rsidRPr="002B6139">
        <w:rPr>
          <w:rFonts w:asciiTheme="minorHAnsi" w:hAnsiTheme="minorHAnsi"/>
          <w:i/>
          <w:iCs/>
          <w:sz w:val="24"/>
          <w:szCs w:val="24"/>
        </w:rPr>
        <w:t>Wagon Mound No 2</w:t>
      </w:r>
      <w:r w:rsidR="000951BB" w:rsidRPr="002B6139">
        <w:rPr>
          <w:rFonts w:asciiTheme="minorHAnsi" w:hAnsiTheme="minorHAnsi"/>
          <w:sz w:val="24"/>
          <w:szCs w:val="24"/>
        </w:rPr>
        <w:t>)</w:t>
      </w:r>
    </w:p>
    <w:p w14:paraId="130FDD34" w14:textId="0663C6F3" w:rsidR="00801A53" w:rsidRPr="002B6139" w:rsidRDefault="00B93412" w:rsidP="003F004B">
      <w:pPr>
        <w:pStyle w:val="ListParagraph"/>
        <w:numPr>
          <w:ilvl w:val="1"/>
          <w:numId w:val="17"/>
        </w:numPr>
        <w:rPr>
          <w:rFonts w:asciiTheme="minorHAnsi" w:hAnsiTheme="minorHAnsi"/>
          <w:sz w:val="24"/>
          <w:szCs w:val="24"/>
        </w:rPr>
      </w:pPr>
      <w:r w:rsidRPr="002B6139">
        <w:rPr>
          <w:rFonts w:asciiTheme="minorHAnsi" w:hAnsiTheme="minorHAnsi"/>
          <w:sz w:val="24"/>
          <w:szCs w:val="24"/>
        </w:rPr>
        <w:t xml:space="preserve">A reasonable person would do so if </w:t>
      </w:r>
      <w:r w:rsidR="00192CDA" w:rsidRPr="002B6139">
        <w:rPr>
          <w:rFonts w:asciiTheme="minorHAnsi" w:hAnsiTheme="minorHAnsi"/>
          <w:sz w:val="24"/>
          <w:szCs w:val="24"/>
        </w:rPr>
        <w:t xml:space="preserve">the severity of the harm outweighs the social utility of </w:t>
      </w:r>
      <w:r w:rsidR="00ED7365" w:rsidRPr="002B6139">
        <w:rPr>
          <w:rFonts w:asciiTheme="minorHAnsi" w:hAnsiTheme="minorHAnsi"/>
          <w:sz w:val="24"/>
          <w:szCs w:val="24"/>
        </w:rPr>
        <w:t xml:space="preserve">the </w:t>
      </w:r>
      <w:r w:rsidR="00192CDA" w:rsidRPr="002B6139">
        <w:rPr>
          <w:rFonts w:asciiTheme="minorHAnsi" w:hAnsiTheme="minorHAnsi"/>
          <w:sz w:val="24"/>
          <w:szCs w:val="24"/>
        </w:rPr>
        <w:t xml:space="preserve">conduct and the cost of </w:t>
      </w:r>
      <w:r w:rsidR="00C4452B" w:rsidRPr="002B6139">
        <w:rPr>
          <w:rFonts w:asciiTheme="minorHAnsi" w:hAnsiTheme="minorHAnsi"/>
          <w:sz w:val="24"/>
          <w:szCs w:val="24"/>
        </w:rPr>
        <w:t>precautions</w:t>
      </w:r>
      <w:r w:rsidR="00ED7365" w:rsidRPr="002B6139">
        <w:rPr>
          <w:rFonts w:asciiTheme="minorHAnsi" w:hAnsiTheme="minorHAnsi"/>
          <w:sz w:val="24"/>
          <w:szCs w:val="24"/>
        </w:rPr>
        <w:t>.</w:t>
      </w:r>
      <w:r w:rsidR="00D31660" w:rsidRPr="002B6139">
        <w:rPr>
          <w:rFonts w:asciiTheme="minorHAnsi" w:hAnsiTheme="minorHAnsi"/>
          <w:sz w:val="24"/>
          <w:szCs w:val="24"/>
        </w:rPr>
        <w:t xml:space="preserve"> </w:t>
      </w:r>
      <w:r w:rsidR="00D97F60" w:rsidRPr="002B6139">
        <w:rPr>
          <w:rFonts w:asciiTheme="minorHAnsi" w:hAnsiTheme="minorHAnsi"/>
          <w:sz w:val="24"/>
          <w:szCs w:val="24"/>
        </w:rPr>
        <w:t>The cost of precautions is relevant here.</w:t>
      </w:r>
      <w:r w:rsidR="001273C7" w:rsidRPr="002B6139">
        <w:rPr>
          <w:rFonts w:asciiTheme="minorHAnsi" w:hAnsiTheme="minorHAnsi"/>
          <w:sz w:val="24"/>
          <w:szCs w:val="24"/>
        </w:rPr>
        <w:t xml:space="preserve"> </w:t>
      </w:r>
      <w:r w:rsidR="00D31660" w:rsidRPr="002B6139">
        <w:rPr>
          <w:rFonts w:asciiTheme="minorHAnsi" w:hAnsiTheme="minorHAnsi"/>
          <w:sz w:val="24"/>
          <w:szCs w:val="24"/>
        </w:rPr>
        <w:t>(</w:t>
      </w:r>
      <w:r w:rsidR="00D31660" w:rsidRPr="002B6139">
        <w:rPr>
          <w:rFonts w:asciiTheme="minorHAnsi" w:hAnsiTheme="minorHAnsi"/>
          <w:i/>
          <w:iCs/>
          <w:sz w:val="24"/>
          <w:szCs w:val="24"/>
        </w:rPr>
        <w:t>Wagon Mound No 2</w:t>
      </w:r>
      <w:r w:rsidR="00D31660" w:rsidRPr="002B6139">
        <w:rPr>
          <w:rFonts w:asciiTheme="minorHAnsi" w:hAnsiTheme="minorHAnsi"/>
          <w:sz w:val="24"/>
          <w:szCs w:val="24"/>
        </w:rPr>
        <w:t>)</w:t>
      </w:r>
    </w:p>
    <w:p w14:paraId="3A22B988" w14:textId="77777777" w:rsidR="0052230B" w:rsidRPr="002B6139" w:rsidRDefault="0052230B" w:rsidP="0052230B">
      <w:pPr>
        <w:pStyle w:val="ListParagraph"/>
        <w:numPr>
          <w:ilvl w:val="1"/>
          <w:numId w:val="17"/>
        </w:numPr>
        <w:rPr>
          <w:sz w:val="24"/>
          <w:szCs w:val="24"/>
        </w:rPr>
      </w:pPr>
      <w:r w:rsidRPr="002B6139">
        <w:rPr>
          <w:b/>
          <w:bCs/>
          <w:sz w:val="24"/>
          <w:szCs w:val="24"/>
        </w:rPr>
        <w:t>Factors</w:t>
      </w:r>
      <w:r w:rsidRPr="002B6139">
        <w:rPr>
          <w:sz w:val="24"/>
          <w:szCs w:val="24"/>
        </w:rPr>
        <w:t>:</w:t>
      </w:r>
    </w:p>
    <w:p w14:paraId="6134726B" w14:textId="77777777" w:rsidR="0052230B" w:rsidRPr="002B6139" w:rsidRDefault="0052230B" w:rsidP="0052230B">
      <w:pPr>
        <w:pStyle w:val="ListParagraph"/>
        <w:numPr>
          <w:ilvl w:val="2"/>
          <w:numId w:val="17"/>
        </w:numPr>
        <w:rPr>
          <w:sz w:val="24"/>
          <w:szCs w:val="24"/>
        </w:rPr>
      </w:pPr>
      <w:r w:rsidRPr="002B6139">
        <w:rPr>
          <w:b/>
          <w:bCs/>
          <w:sz w:val="24"/>
          <w:szCs w:val="24"/>
        </w:rPr>
        <w:t>Cost of precautions</w:t>
      </w:r>
      <w:r w:rsidRPr="002B6139">
        <w:rPr>
          <w:sz w:val="24"/>
          <w:szCs w:val="24"/>
        </w:rPr>
        <w:t xml:space="preserve"> (Wagon Mound No 2)</w:t>
      </w:r>
    </w:p>
    <w:p w14:paraId="34164ECF" w14:textId="77777777" w:rsidR="0052230B" w:rsidRPr="002B6139" w:rsidRDefault="0052230B" w:rsidP="0052230B">
      <w:pPr>
        <w:pStyle w:val="ListParagraph"/>
        <w:numPr>
          <w:ilvl w:val="3"/>
          <w:numId w:val="17"/>
        </w:numPr>
        <w:rPr>
          <w:sz w:val="24"/>
          <w:szCs w:val="24"/>
        </w:rPr>
      </w:pPr>
      <w:r w:rsidRPr="002B6139">
        <w:rPr>
          <w:sz w:val="24"/>
          <w:szCs w:val="24"/>
        </w:rPr>
        <w:t>See Learned Hand Formula from Caroll Towing</w:t>
      </w:r>
    </w:p>
    <w:p w14:paraId="56DA302B" w14:textId="77777777" w:rsidR="0052230B" w:rsidRPr="002B6139" w:rsidRDefault="0052230B" w:rsidP="0052230B">
      <w:pPr>
        <w:pStyle w:val="ListParagraph"/>
        <w:numPr>
          <w:ilvl w:val="4"/>
          <w:numId w:val="17"/>
        </w:numPr>
        <w:rPr>
          <w:sz w:val="24"/>
          <w:szCs w:val="24"/>
        </w:rPr>
      </w:pPr>
      <w:r w:rsidRPr="002B6139">
        <w:rPr>
          <w:sz w:val="24"/>
          <w:szCs w:val="24"/>
        </w:rPr>
        <w:t>P= Probability of occurrence</w:t>
      </w:r>
    </w:p>
    <w:p w14:paraId="0B76BAB7" w14:textId="77777777" w:rsidR="0052230B" w:rsidRPr="002B6139" w:rsidRDefault="0052230B" w:rsidP="0052230B">
      <w:pPr>
        <w:pStyle w:val="ListParagraph"/>
        <w:numPr>
          <w:ilvl w:val="4"/>
          <w:numId w:val="17"/>
        </w:numPr>
        <w:rPr>
          <w:sz w:val="24"/>
          <w:szCs w:val="24"/>
        </w:rPr>
      </w:pPr>
      <w:r w:rsidRPr="002B6139">
        <w:rPr>
          <w:sz w:val="24"/>
          <w:szCs w:val="24"/>
        </w:rPr>
        <w:t>L= Cost of occurrence (liability)</w:t>
      </w:r>
    </w:p>
    <w:p w14:paraId="64E5B0D5" w14:textId="77777777" w:rsidR="0052230B" w:rsidRPr="002B6139" w:rsidRDefault="0052230B" w:rsidP="0052230B">
      <w:pPr>
        <w:pStyle w:val="ListParagraph"/>
        <w:numPr>
          <w:ilvl w:val="4"/>
          <w:numId w:val="17"/>
        </w:numPr>
        <w:rPr>
          <w:sz w:val="24"/>
          <w:szCs w:val="24"/>
        </w:rPr>
      </w:pPr>
      <w:r w:rsidRPr="002B6139">
        <w:rPr>
          <w:sz w:val="24"/>
          <w:szCs w:val="24"/>
        </w:rPr>
        <w:t>B= Cost of reasonable precautions</w:t>
      </w:r>
    </w:p>
    <w:p w14:paraId="5ABDB79D" w14:textId="77777777" w:rsidR="0052230B" w:rsidRPr="002B6139" w:rsidRDefault="0052230B" w:rsidP="0052230B">
      <w:pPr>
        <w:pStyle w:val="ListParagraph"/>
        <w:numPr>
          <w:ilvl w:val="4"/>
          <w:numId w:val="17"/>
        </w:numPr>
        <w:rPr>
          <w:sz w:val="24"/>
          <w:szCs w:val="24"/>
        </w:rPr>
      </w:pPr>
      <w:r w:rsidRPr="002B6139">
        <w:rPr>
          <w:sz w:val="24"/>
          <w:szCs w:val="24"/>
        </w:rPr>
        <w:t>[B &lt; (L*P)] → reasonable person would act to prevent.</w:t>
      </w:r>
    </w:p>
    <w:p w14:paraId="3B39F2E1" w14:textId="77777777" w:rsidR="0052230B" w:rsidRPr="002B6139" w:rsidRDefault="0052230B" w:rsidP="0052230B">
      <w:pPr>
        <w:pStyle w:val="ListParagraph"/>
        <w:numPr>
          <w:ilvl w:val="4"/>
          <w:numId w:val="17"/>
        </w:numPr>
        <w:rPr>
          <w:sz w:val="24"/>
          <w:szCs w:val="24"/>
        </w:rPr>
      </w:pPr>
      <w:r w:rsidRPr="002B6139">
        <w:rPr>
          <w:sz w:val="24"/>
          <w:szCs w:val="24"/>
        </w:rPr>
        <w:t>[B ≥ (L*P)] → reasonable person justified in not acting to prevent it.</w:t>
      </w:r>
    </w:p>
    <w:p w14:paraId="39276A58" w14:textId="77777777" w:rsidR="0052230B" w:rsidRPr="002B6139" w:rsidRDefault="0052230B" w:rsidP="0052230B">
      <w:pPr>
        <w:pStyle w:val="ListParagraph"/>
        <w:numPr>
          <w:ilvl w:val="3"/>
          <w:numId w:val="17"/>
        </w:numPr>
        <w:rPr>
          <w:sz w:val="24"/>
          <w:szCs w:val="24"/>
        </w:rPr>
      </w:pPr>
      <w:r w:rsidRPr="002B6139">
        <w:rPr>
          <w:b/>
          <w:bCs/>
          <w:sz w:val="24"/>
          <w:szCs w:val="24"/>
        </w:rPr>
        <w:t>Severity of harm</w:t>
      </w:r>
      <w:r w:rsidRPr="002B6139">
        <w:rPr>
          <w:sz w:val="24"/>
          <w:szCs w:val="24"/>
        </w:rPr>
        <w:t xml:space="preserve"> (Wagon Mound No 2)</w:t>
      </w:r>
    </w:p>
    <w:p w14:paraId="38278C2F" w14:textId="77777777" w:rsidR="0052230B" w:rsidRPr="002B6139" w:rsidRDefault="0052230B" w:rsidP="0052230B">
      <w:pPr>
        <w:pStyle w:val="ListParagraph"/>
        <w:numPr>
          <w:ilvl w:val="4"/>
          <w:numId w:val="17"/>
        </w:numPr>
        <w:rPr>
          <w:sz w:val="24"/>
          <w:szCs w:val="24"/>
        </w:rPr>
      </w:pPr>
      <w:r w:rsidRPr="002B6139">
        <w:rPr>
          <w:sz w:val="24"/>
          <w:szCs w:val="24"/>
        </w:rPr>
        <w:t>See Learned Hand Formula from Caroll Towing above.</w:t>
      </w:r>
    </w:p>
    <w:p w14:paraId="6039B539" w14:textId="22409E09" w:rsidR="0052230B" w:rsidRPr="002B6139" w:rsidRDefault="0052230B" w:rsidP="0052230B">
      <w:pPr>
        <w:pStyle w:val="ListParagraph"/>
        <w:numPr>
          <w:ilvl w:val="3"/>
          <w:numId w:val="17"/>
        </w:numPr>
        <w:rPr>
          <w:sz w:val="24"/>
          <w:szCs w:val="24"/>
        </w:rPr>
      </w:pPr>
      <w:r w:rsidRPr="002B6139">
        <w:rPr>
          <w:b/>
          <w:bCs/>
          <w:sz w:val="24"/>
          <w:szCs w:val="24"/>
        </w:rPr>
        <w:t>Social utility</w:t>
      </w:r>
      <w:r w:rsidRPr="002B6139">
        <w:rPr>
          <w:sz w:val="24"/>
          <w:szCs w:val="24"/>
        </w:rPr>
        <w:t xml:space="preserve"> of the defendant’s activity can weigh against taking precautions (Tomlinson</w:t>
      </w:r>
      <w:r w:rsidR="00F725F1" w:rsidRPr="002B6139">
        <w:rPr>
          <w:sz w:val="24"/>
          <w:szCs w:val="24"/>
        </w:rPr>
        <w:t>, Latimer</w:t>
      </w:r>
      <w:r w:rsidRPr="002B6139">
        <w:rPr>
          <w:sz w:val="24"/>
          <w:szCs w:val="24"/>
        </w:rPr>
        <w:t>)</w:t>
      </w:r>
    </w:p>
    <w:p w14:paraId="27E46209" w14:textId="6DB5EAF2" w:rsidR="0052230B" w:rsidRPr="002B6139" w:rsidRDefault="0052230B" w:rsidP="0052230B">
      <w:pPr>
        <w:pStyle w:val="ListParagraph"/>
        <w:numPr>
          <w:ilvl w:val="4"/>
          <w:numId w:val="17"/>
        </w:numPr>
        <w:rPr>
          <w:sz w:val="24"/>
          <w:szCs w:val="24"/>
        </w:rPr>
      </w:pPr>
      <w:r w:rsidRPr="002B6139">
        <w:rPr>
          <w:sz w:val="24"/>
          <w:szCs w:val="24"/>
        </w:rPr>
        <w:t>Idea: don’t add costs to socially beneficial activities.</w:t>
      </w:r>
    </w:p>
    <w:p w14:paraId="338223D4" w14:textId="438A2860" w:rsidR="00A01167" w:rsidRPr="002B6139" w:rsidRDefault="00A01167" w:rsidP="004E5CC4">
      <w:pPr>
        <w:pStyle w:val="ListParagraph"/>
        <w:numPr>
          <w:ilvl w:val="0"/>
          <w:numId w:val="17"/>
        </w:numPr>
        <w:rPr>
          <w:rFonts w:asciiTheme="minorHAnsi" w:hAnsiTheme="minorHAnsi"/>
          <w:sz w:val="24"/>
          <w:szCs w:val="24"/>
        </w:rPr>
      </w:pPr>
      <w:r w:rsidRPr="002B6139">
        <w:rPr>
          <w:rFonts w:asciiTheme="minorHAnsi" w:hAnsiTheme="minorHAnsi"/>
          <w:sz w:val="24"/>
          <w:szCs w:val="24"/>
        </w:rPr>
        <w:t xml:space="preserve">“In </w:t>
      </w:r>
      <w:r w:rsidRPr="002B6139">
        <w:rPr>
          <w:rFonts w:asciiTheme="minorHAnsi" w:hAnsiTheme="minorHAnsi"/>
          <w:b/>
          <w:bCs/>
          <w:i/>
          <w:iCs/>
          <w:sz w:val="24"/>
          <w:szCs w:val="24"/>
        </w:rPr>
        <w:t>Rankin’s Garage</w:t>
      </w:r>
      <w:r w:rsidRPr="002B6139">
        <w:rPr>
          <w:rFonts w:asciiTheme="minorHAnsi" w:hAnsiTheme="minorHAnsi"/>
          <w:sz w:val="24"/>
          <w:szCs w:val="24"/>
        </w:rPr>
        <w:t>, the majority held that theft was reasonably foreseeable but the crash leading the defendant’s injuries was not, so there was no duty of care established. However, the dissent (Brown J) held that the claim fell within established duty of care category of foreseeable physical injury to the plaintiff.” (</w:t>
      </w:r>
      <w:r w:rsidRPr="002B6139">
        <w:rPr>
          <w:rFonts w:asciiTheme="minorHAnsi" w:hAnsiTheme="minorHAnsi"/>
          <w:b/>
          <w:bCs/>
          <w:i/>
          <w:iCs/>
          <w:sz w:val="24"/>
          <w:szCs w:val="24"/>
        </w:rPr>
        <w:t>Cooper</w:t>
      </w:r>
      <w:r w:rsidRPr="002B6139">
        <w:rPr>
          <w:rFonts w:asciiTheme="minorHAnsi" w:hAnsiTheme="minorHAnsi"/>
          <w:sz w:val="24"/>
          <w:szCs w:val="24"/>
        </w:rPr>
        <w:t>)</w:t>
      </w:r>
    </w:p>
    <w:p w14:paraId="06AC3B40" w14:textId="466E5603" w:rsidR="00BB1E63" w:rsidRPr="002B6139" w:rsidRDefault="00BA3E58" w:rsidP="00BA3E58">
      <w:pPr>
        <w:rPr>
          <w:rFonts w:asciiTheme="minorHAnsi" w:hAnsiTheme="minorHAnsi"/>
          <w:sz w:val="24"/>
          <w:szCs w:val="24"/>
        </w:rPr>
      </w:pPr>
      <w:r w:rsidRPr="002B6139">
        <w:rPr>
          <w:rFonts w:asciiTheme="minorHAnsi" w:hAnsiTheme="minorHAnsi"/>
          <w:b/>
          <w:bCs/>
          <w:sz w:val="24"/>
          <w:szCs w:val="24"/>
        </w:rPr>
        <w:t>Stage Two: Residual Policy Considerations – Are there any residual policy considerations</w:t>
      </w:r>
      <w:r w:rsidR="00EA704B" w:rsidRPr="002B6139">
        <w:rPr>
          <w:rFonts w:asciiTheme="minorHAnsi" w:hAnsiTheme="minorHAnsi"/>
          <w:b/>
          <w:bCs/>
          <w:sz w:val="24"/>
          <w:szCs w:val="24"/>
        </w:rPr>
        <w:t xml:space="preserve"> not pertaining to the relationship between the parties that, </w:t>
      </w:r>
      <w:r w:rsidR="00EA704B" w:rsidRPr="002B6139">
        <w:rPr>
          <w:rFonts w:asciiTheme="minorHAnsi" w:hAnsiTheme="minorHAnsi"/>
          <w:b/>
          <w:bCs/>
          <w:sz w:val="24"/>
          <w:szCs w:val="24"/>
        </w:rPr>
        <w:lastRenderedPageBreak/>
        <w:t xml:space="preserve">notwithstanding the </w:t>
      </w:r>
      <w:r w:rsidR="00EA704B" w:rsidRPr="002B6139">
        <w:rPr>
          <w:rFonts w:asciiTheme="minorHAnsi" w:hAnsiTheme="minorHAnsi"/>
          <w:b/>
          <w:bCs/>
          <w:i/>
          <w:iCs/>
          <w:sz w:val="24"/>
          <w:szCs w:val="24"/>
        </w:rPr>
        <w:t xml:space="preserve">prima facie </w:t>
      </w:r>
      <w:r w:rsidR="00EA704B" w:rsidRPr="002B6139">
        <w:rPr>
          <w:rFonts w:asciiTheme="minorHAnsi" w:hAnsiTheme="minorHAnsi"/>
          <w:b/>
          <w:bCs/>
          <w:sz w:val="24"/>
          <w:szCs w:val="24"/>
        </w:rPr>
        <w:t>duty established in the first part of this test</w:t>
      </w:r>
      <w:r w:rsidR="00012921" w:rsidRPr="002B6139">
        <w:rPr>
          <w:rFonts w:asciiTheme="minorHAnsi" w:hAnsiTheme="minorHAnsi"/>
          <w:b/>
          <w:bCs/>
          <w:sz w:val="24"/>
          <w:szCs w:val="24"/>
        </w:rPr>
        <w:t>, should limit or negati</w:t>
      </w:r>
      <w:r w:rsidR="00BB1E63" w:rsidRPr="002B6139">
        <w:rPr>
          <w:rFonts w:asciiTheme="minorHAnsi" w:hAnsiTheme="minorHAnsi"/>
          <w:b/>
          <w:bCs/>
          <w:sz w:val="24"/>
          <w:szCs w:val="24"/>
        </w:rPr>
        <w:t>ve the duty recognized in stage one? (Cooper)</w:t>
      </w:r>
    </w:p>
    <w:p w14:paraId="56282290" w14:textId="736D55E6" w:rsidR="00D52F1E" w:rsidRPr="002B6139" w:rsidRDefault="00D52F1E" w:rsidP="00ED6D76">
      <w:pPr>
        <w:pStyle w:val="ListParagraph"/>
        <w:numPr>
          <w:ilvl w:val="0"/>
          <w:numId w:val="9"/>
        </w:numPr>
        <w:rPr>
          <w:rFonts w:asciiTheme="minorHAnsi" w:hAnsiTheme="minorHAnsi"/>
          <w:sz w:val="24"/>
          <w:szCs w:val="24"/>
        </w:rPr>
      </w:pPr>
      <w:r w:rsidRPr="002B6139">
        <w:rPr>
          <w:rFonts w:asciiTheme="minorHAnsi" w:hAnsiTheme="minorHAnsi"/>
          <w:sz w:val="24"/>
          <w:szCs w:val="24"/>
        </w:rPr>
        <w:t xml:space="preserve">This part of test </w:t>
      </w:r>
      <w:r w:rsidR="00CD429C" w:rsidRPr="002B6139">
        <w:rPr>
          <w:rFonts w:asciiTheme="minorHAnsi" w:hAnsiTheme="minorHAnsi"/>
          <w:sz w:val="24"/>
          <w:szCs w:val="24"/>
        </w:rPr>
        <w:t xml:space="preserve">generally </w:t>
      </w:r>
      <w:r w:rsidRPr="002B6139">
        <w:rPr>
          <w:rFonts w:asciiTheme="minorHAnsi" w:hAnsiTheme="minorHAnsi"/>
          <w:sz w:val="24"/>
          <w:szCs w:val="24"/>
        </w:rPr>
        <w:t xml:space="preserve">only arises in cases where the duty of care asserted does not fall within a </w:t>
      </w:r>
      <w:r w:rsidR="00500ABD" w:rsidRPr="002B6139">
        <w:rPr>
          <w:rFonts w:asciiTheme="minorHAnsi" w:hAnsiTheme="minorHAnsi"/>
          <w:sz w:val="24"/>
          <w:szCs w:val="24"/>
        </w:rPr>
        <w:t xml:space="preserve">previously </w:t>
      </w:r>
      <w:r w:rsidRPr="002B6139">
        <w:rPr>
          <w:rFonts w:asciiTheme="minorHAnsi" w:hAnsiTheme="minorHAnsi"/>
          <w:sz w:val="24"/>
          <w:szCs w:val="24"/>
        </w:rPr>
        <w:t>recognized category.</w:t>
      </w:r>
      <w:r w:rsidR="00CD429C" w:rsidRPr="002B6139">
        <w:rPr>
          <w:rFonts w:asciiTheme="minorHAnsi" w:hAnsiTheme="minorHAnsi"/>
          <w:sz w:val="24"/>
          <w:szCs w:val="24"/>
        </w:rPr>
        <w:t xml:space="preserve"> </w:t>
      </w:r>
    </w:p>
    <w:p w14:paraId="207D13F2" w14:textId="43FA3E32" w:rsidR="00201F71" w:rsidRPr="002B6139" w:rsidRDefault="00201F71" w:rsidP="00ED6D76">
      <w:pPr>
        <w:pStyle w:val="ListParagraph"/>
        <w:numPr>
          <w:ilvl w:val="0"/>
          <w:numId w:val="9"/>
        </w:numPr>
        <w:rPr>
          <w:rFonts w:asciiTheme="minorHAnsi" w:hAnsiTheme="minorHAnsi"/>
          <w:sz w:val="24"/>
          <w:szCs w:val="24"/>
        </w:rPr>
      </w:pPr>
      <w:r w:rsidRPr="002B6139">
        <w:rPr>
          <w:rFonts w:asciiTheme="minorHAnsi" w:hAnsiTheme="minorHAnsi"/>
          <w:sz w:val="24"/>
          <w:szCs w:val="24"/>
        </w:rPr>
        <w:t>General categories of policy considerations:</w:t>
      </w:r>
    </w:p>
    <w:p w14:paraId="549F3B5A" w14:textId="67243BB0" w:rsidR="009A7AFE" w:rsidRPr="002B6139" w:rsidRDefault="009A7AFE" w:rsidP="00ED6D76">
      <w:pPr>
        <w:pStyle w:val="ListParagraph"/>
        <w:numPr>
          <w:ilvl w:val="1"/>
          <w:numId w:val="9"/>
        </w:numPr>
        <w:rPr>
          <w:rFonts w:asciiTheme="minorHAnsi" w:hAnsiTheme="minorHAnsi"/>
          <w:sz w:val="24"/>
          <w:szCs w:val="24"/>
        </w:rPr>
      </w:pPr>
      <w:r w:rsidRPr="002B6139">
        <w:rPr>
          <w:rFonts w:asciiTheme="minorHAnsi" w:hAnsiTheme="minorHAnsi"/>
          <w:sz w:val="24"/>
          <w:szCs w:val="24"/>
        </w:rPr>
        <w:t xml:space="preserve">Effect on other legal </w:t>
      </w:r>
      <w:r w:rsidR="00E854FA" w:rsidRPr="002B6139">
        <w:rPr>
          <w:rFonts w:asciiTheme="minorHAnsi" w:hAnsiTheme="minorHAnsi"/>
          <w:sz w:val="24"/>
          <w:szCs w:val="24"/>
        </w:rPr>
        <w:t>obligations.</w:t>
      </w:r>
    </w:p>
    <w:p w14:paraId="5304DA59" w14:textId="77777777" w:rsidR="00E854FA" w:rsidRPr="002B6139" w:rsidRDefault="00E854FA"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Statutory duties effectively to the public as a whole</w:t>
      </w:r>
    </w:p>
    <w:p w14:paraId="3FAAD684" w14:textId="1CB5F23A" w:rsidR="00E854FA" w:rsidRPr="002B6139" w:rsidRDefault="00E854FA" w:rsidP="00ED6D76">
      <w:pPr>
        <w:pStyle w:val="ListParagraph"/>
        <w:numPr>
          <w:ilvl w:val="3"/>
          <w:numId w:val="9"/>
        </w:numPr>
        <w:rPr>
          <w:rFonts w:asciiTheme="minorHAnsi" w:hAnsiTheme="minorHAnsi"/>
          <w:sz w:val="24"/>
          <w:szCs w:val="24"/>
        </w:rPr>
      </w:pPr>
      <w:r w:rsidRPr="002B6139">
        <w:rPr>
          <w:rFonts w:asciiTheme="minorHAnsi" w:hAnsiTheme="minorHAnsi"/>
          <w:sz w:val="24"/>
          <w:szCs w:val="24"/>
        </w:rPr>
        <w:t>Note: A private law duty of care will not be imposed where it creates the potential for serious and significant conflict with a statutorily imposed duty of care. (Syl Apps v BD 2007 SCC)</w:t>
      </w:r>
    </w:p>
    <w:p w14:paraId="7BB4CC20" w14:textId="2E765CCE" w:rsidR="009A7AFE" w:rsidRPr="002B6139" w:rsidRDefault="009A7AFE" w:rsidP="00ED6D76">
      <w:pPr>
        <w:pStyle w:val="ListParagraph"/>
        <w:numPr>
          <w:ilvl w:val="1"/>
          <w:numId w:val="9"/>
        </w:numPr>
        <w:rPr>
          <w:rFonts w:asciiTheme="minorHAnsi" w:hAnsiTheme="minorHAnsi"/>
          <w:sz w:val="24"/>
          <w:szCs w:val="24"/>
        </w:rPr>
      </w:pPr>
      <w:r w:rsidRPr="002B6139">
        <w:rPr>
          <w:rFonts w:asciiTheme="minorHAnsi" w:hAnsiTheme="minorHAnsi"/>
          <w:sz w:val="24"/>
          <w:szCs w:val="24"/>
        </w:rPr>
        <w:t xml:space="preserve">Effect on the legal </w:t>
      </w:r>
      <w:r w:rsidR="00E854FA" w:rsidRPr="002B6139">
        <w:rPr>
          <w:rFonts w:asciiTheme="minorHAnsi" w:hAnsiTheme="minorHAnsi"/>
          <w:sz w:val="24"/>
          <w:szCs w:val="24"/>
        </w:rPr>
        <w:t>system.</w:t>
      </w:r>
    </w:p>
    <w:p w14:paraId="3EE424E9" w14:textId="10BA7352" w:rsidR="00E854FA" w:rsidRPr="002B6139" w:rsidRDefault="00E854FA"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Maintaining legislative and judicial independence – do not want tort liability interfering with these roles.</w:t>
      </w:r>
    </w:p>
    <w:p w14:paraId="7D3C0873" w14:textId="46FAF340" w:rsidR="003C0D91" w:rsidRPr="002B6139" w:rsidRDefault="003C0D91"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Administrative difficulties in recognizing a duty. (Too expensive, takes up too much of the court’s scarce resources.)</w:t>
      </w:r>
    </w:p>
    <w:p w14:paraId="6207DF0F" w14:textId="545B1FF3" w:rsidR="009A7AFE" w:rsidRPr="002B6139" w:rsidRDefault="009A7AFE" w:rsidP="00ED6D76">
      <w:pPr>
        <w:pStyle w:val="ListParagraph"/>
        <w:numPr>
          <w:ilvl w:val="1"/>
          <w:numId w:val="9"/>
        </w:numPr>
        <w:rPr>
          <w:rFonts w:asciiTheme="minorHAnsi" w:hAnsiTheme="minorHAnsi"/>
          <w:sz w:val="24"/>
          <w:szCs w:val="24"/>
        </w:rPr>
      </w:pPr>
      <w:r w:rsidRPr="002B6139">
        <w:rPr>
          <w:rFonts w:asciiTheme="minorHAnsi" w:hAnsiTheme="minorHAnsi"/>
          <w:sz w:val="24"/>
          <w:szCs w:val="24"/>
        </w:rPr>
        <w:t xml:space="preserve">Effect on society </w:t>
      </w:r>
      <w:r w:rsidR="00E854FA" w:rsidRPr="002B6139">
        <w:rPr>
          <w:rFonts w:asciiTheme="minorHAnsi" w:hAnsiTheme="minorHAnsi"/>
          <w:sz w:val="24"/>
          <w:szCs w:val="24"/>
        </w:rPr>
        <w:t>generally.</w:t>
      </w:r>
    </w:p>
    <w:p w14:paraId="3877AF6E" w14:textId="363687EF" w:rsidR="00E854FA" w:rsidRPr="002B6139" w:rsidRDefault="00E854FA"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Societal values and needs (</w:t>
      </w:r>
      <w:r w:rsidRPr="002B6139">
        <w:rPr>
          <w:rFonts w:asciiTheme="minorHAnsi" w:hAnsiTheme="minorHAnsi"/>
          <w:i/>
          <w:iCs/>
          <w:sz w:val="24"/>
          <w:szCs w:val="24"/>
        </w:rPr>
        <w:t>Dobson</w:t>
      </w:r>
      <w:r w:rsidRPr="002B6139">
        <w:rPr>
          <w:rFonts w:asciiTheme="minorHAnsi" w:hAnsiTheme="minorHAnsi"/>
          <w:sz w:val="24"/>
          <w:szCs w:val="24"/>
        </w:rPr>
        <w:t>)</w:t>
      </w:r>
    </w:p>
    <w:p w14:paraId="4CF6BDB1" w14:textId="4C2951F4" w:rsidR="003F17ED" w:rsidRPr="002B6139" w:rsidRDefault="003F17ED"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Requires the public to assume the risk and thus the costs that would otherwise be borne by private entities. (Cooper)</w:t>
      </w:r>
    </w:p>
    <w:p w14:paraId="5AF5B24D" w14:textId="77777777" w:rsidR="003C0D91" w:rsidRPr="002B6139" w:rsidRDefault="003C0D91"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Availability of other remedies</w:t>
      </w:r>
    </w:p>
    <w:p w14:paraId="0DB1F19B" w14:textId="468614A5" w:rsidR="003C0D91" w:rsidRPr="002B6139" w:rsidRDefault="003C0D91"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Availability of insurance</w:t>
      </w:r>
    </w:p>
    <w:p w14:paraId="630530F7" w14:textId="7412CD30" w:rsidR="009A7AFE" w:rsidRPr="002B6139" w:rsidRDefault="009A7AFE" w:rsidP="00ED6D76">
      <w:pPr>
        <w:pStyle w:val="ListParagraph"/>
        <w:numPr>
          <w:ilvl w:val="1"/>
          <w:numId w:val="9"/>
        </w:numPr>
        <w:rPr>
          <w:rFonts w:asciiTheme="minorHAnsi" w:hAnsiTheme="minorHAnsi"/>
          <w:sz w:val="24"/>
          <w:szCs w:val="24"/>
        </w:rPr>
      </w:pPr>
      <w:r w:rsidRPr="002B6139">
        <w:rPr>
          <w:rFonts w:asciiTheme="minorHAnsi" w:hAnsiTheme="minorHAnsi"/>
          <w:sz w:val="24"/>
          <w:szCs w:val="24"/>
        </w:rPr>
        <w:t>Policy decisions vs operational decisions (no liability for policy)</w:t>
      </w:r>
      <w:r w:rsidR="00E854FA" w:rsidRPr="002B6139">
        <w:rPr>
          <w:rFonts w:asciiTheme="minorHAnsi" w:hAnsiTheme="minorHAnsi"/>
          <w:sz w:val="24"/>
          <w:szCs w:val="24"/>
        </w:rPr>
        <w:t>.</w:t>
      </w:r>
    </w:p>
    <w:p w14:paraId="0EE07509" w14:textId="5DB7844D" w:rsidR="00984332" w:rsidRPr="002B6139" w:rsidRDefault="00BE61CB"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This is an incoherent distinction unless</w:t>
      </w:r>
      <w:r w:rsidR="00D12E3C" w:rsidRPr="002B6139">
        <w:rPr>
          <w:rFonts w:asciiTheme="minorHAnsi" w:hAnsiTheme="minorHAnsi"/>
          <w:sz w:val="24"/>
          <w:szCs w:val="24"/>
        </w:rPr>
        <w:t xml:space="preserve"> you look to the same distinction in the context of the justiciability for charter claims.</w:t>
      </w:r>
    </w:p>
    <w:p w14:paraId="317B9DAA" w14:textId="33915FED" w:rsidR="001173AD" w:rsidRPr="002B6139" w:rsidRDefault="001173AD" w:rsidP="00ED6D76">
      <w:pPr>
        <w:pStyle w:val="ListParagraph"/>
        <w:numPr>
          <w:ilvl w:val="3"/>
          <w:numId w:val="9"/>
        </w:numPr>
        <w:rPr>
          <w:rFonts w:asciiTheme="minorHAnsi" w:hAnsiTheme="minorHAnsi"/>
          <w:sz w:val="24"/>
          <w:szCs w:val="24"/>
        </w:rPr>
      </w:pPr>
      <w:r w:rsidRPr="002B6139">
        <w:rPr>
          <w:rFonts w:asciiTheme="minorHAnsi" w:hAnsiTheme="minorHAnsi"/>
          <w:sz w:val="24"/>
          <w:szCs w:val="24"/>
        </w:rPr>
        <w:t>I.e., policy becomes justiciable when translated into state action.</w:t>
      </w:r>
    </w:p>
    <w:p w14:paraId="31660D25" w14:textId="410B9E5D" w:rsidR="00CD6B70" w:rsidRPr="002B6139" w:rsidRDefault="00CD6B70" w:rsidP="00ED6D76">
      <w:pPr>
        <w:pStyle w:val="ListParagraph"/>
        <w:numPr>
          <w:ilvl w:val="3"/>
          <w:numId w:val="9"/>
        </w:numPr>
        <w:rPr>
          <w:rFonts w:asciiTheme="minorHAnsi" w:hAnsiTheme="minorHAnsi"/>
          <w:sz w:val="24"/>
          <w:szCs w:val="24"/>
        </w:rPr>
      </w:pPr>
      <w:r w:rsidRPr="002B6139">
        <w:rPr>
          <w:rFonts w:asciiTheme="minorHAnsi" w:hAnsiTheme="minorHAnsi"/>
          <w:sz w:val="24"/>
          <w:szCs w:val="24"/>
        </w:rPr>
        <w:t>Canada (Attorney General) v PHS Community Services Society, 2011 SCC 44 at paragraph 105:</w:t>
      </w:r>
    </w:p>
    <w:p w14:paraId="08EA2525" w14:textId="33130ACD" w:rsidR="00CD6B70" w:rsidRPr="002B6139" w:rsidRDefault="00CD6B70" w:rsidP="00ED6D76">
      <w:pPr>
        <w:pStyle w:val="ListParagraph"/>
        <w:numPr>
          <w:ilvl w:val="3"/>
          <w:numId w:val="9"/>
        </w:numPr>
        <w:rPr>
          <w:rFonts w:asciiTheme="minorHAnsi" w:hAnsiTheme="minorHAnsi"/>
          <w:sz w:val="24"/>
          <w:szCs w:val="24"/>
        </w:rPr>
      </w:pPr>
      <w:r w:rsidRPr="002B6139">
        <w:rPr>
          <w:rFonts w:asciiTheme="minorHAnsi" w:hAnsiTheme="minorHAnsi"/>
          <w:sz w:val="24"/>
          <w:szCs w:val="24"/>
        </w:rPr>
        <w:t>“It is for the relevant governments, not the Court, to make criminal and health policy. However, when a policy is translated into law or state action, those laws and actions are subject to scrutiny under the Charter…”</w:t>
      </w:r>
    </w:p>
    <w:p w14:paraId="566E6D4B" w14:textId="015081B9" w:rsidR="00201F71" w:rsidRPr="002B6139" w:rsidRDefault="009A7AFE" w:rsidP="00ED6D76">
      <w:pPr>
        <w:pStyle w:val="ListParagraph"/>
        <w:numPr>
          <w:ilvl w:val="1"/>
          <w:numId w:val="9"/>
        </w:numPr>
        <w:rPr>
          <w:rFonts w:asciiTheme="minorHAnsi" w:hAnsiTheme="minorHAnsi"/>
          <w:sz w:val="24"/>
          <w:szCs w:val="24"/>
        </w:rPr>
      </w:pPr>
      <w:r w:rsidRPr="002B6139">
        <w:rPr>
          <w:rFonts w:asciiTheme="minorHAnsi" w:hAnsiTheme="minorHAnsi"/>
          <w:sz w:val="24"/>
          <w:szCs w:val="24"/>
        </w:rPr>
        <w:t xml:space="preserve">Creates unlimited </w:t>
      </w:r>
      <w:r w:rsidR="00E854FA" w:rsidRPr="002B6139">
        <w:rPr>
          <w:rFonts w:asciiTheme="minorHAnsi" w:hAnsiTheme="minorHAnsi"/>
          <w:sz w:val="24"/>
          <w:szCs w:val="24"/>
        </w:rPr>
        <w:t>liability.</w:t>
      </w:r>
    </w:p>
    <w:p w14:paraId="3E86A04F" w14:textId="146D130A" w:rsidR="003C0D91" w:rsidRPr="002B6139" w:rsidRDefault="00E854FA"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Indeterminate liability is a residual policy consideration not a residual policy veto. The large compensation attached to high-risk activities and the voluntariness of assuming that risk may weigh against the indeterminacy of the liability. (Deloitte)</w:t>
      </w:r>
    </w:p>
    <w:p w14:paraId="47096645" w14:textId="0D5D8DAE" w:rsidR="003C0D91" w:rsidRPr="002B6139" w:rsidRDefault="003C0D91" w:rsidP="00ED6D76">
      <w:pPr>
        <w:pStyle w:val="ListParagraph"/>
        <w:numPr>
          <w:ilvl w:val="2"/>
          <w:numId w:val="9"/>
        </w:numPr>
        <w:rPr>
          <w:rFonts w:asciiTheme="minorHAnsi" w:hAnsiTheme="minorHAnsi"/>
          <w:sz w:val="24"/>
          <w:szCs w:val="24"/>
        </w:rPr>
      </w:pPr>
      <w:r w:rsidRPr="002B6139">
        <w:rPr>
          <w:rFonts w:asciiTheme="minorHAnsi" w:hAnsiTheme="minorHAnsi"/>
          <w:sz w:val="24"/>
          <w:szCs w:val="24"/>
        </w:rPr>
        <w:t>Only consider this if there’s any indeterminacy issues left after considering it in the proximity stage. (Deloitte)</w:t>
      </w:r>
    </w:p>
    <w:p w14:paraId="159DA2A6" w14:textId="0EF2C196" w:rsidR="001229B6" w:rsidRPr="002B6139" w:rsidRDefault="001229B6" w:rsidP="001229B6">
      <w:pPr>
        <w:pStyle w:val="Heading1"/>
      </w:pPr>
      <w:r w:rsidRPr="002B6139">
        <w:lastRenderedPageBreak/>
        <w:t>Three: Remoteness (Legal Causation)</w:t>
      </w:r>
    </w:p>
    <w:p w14:paraId="161478C6" w14:textId="4016F5B3" w:rsidR="007215C8" w:rsidRPr="002B6139" w:rsidRDefault="007215C8" w:rsidP="007215C8">
      <w:pPr>
        <w:pStyle w:val="Heading3"/>
      </w:pPr>
      <w:r w:rsidRPr="002B6139">
        <w:t>Novus Actus Interveniens</w:t>
      </w:r>
      <w:r w:rsidR="00150053" w:rsidRPr="002B6139">
        <w:t xml:space="preserve">; </w:t>
      </w:r>
      <w:r w:rsidR="00D72A21" w:rsidRPr="002B6139">
        <w:t>L</w:t>
      </w:r>
      <w:r w:rsidR="00150053" w:rsidRPr="002B6139">
        <w:t>egal causation between breach of duty and damage</w:t>
      </w:r>
    </w:p>
    <w:p w14:paraId="2A6A1454" w14:textId="3BD53E58" w:rsidR="007215C8" w:rsidRPr="002B6139" w:rsidRDefault="007215C8" w:rsidP="007215C8">
      <w:pPr>
        <w:pStyle w:val="ListParagraph"/>
        <w:numPr>
          <w:ilvl w:val="0"/>
          <w:numId w:val="16"/>
        </w:numPr>
        <w:spacing w:line="240" w:lineRule="auto"/>
        <w:rPr>
          <w:rFonts w:asciiTheme="minorHAnsi" w:hAnsiTheme="minorHAnsi"/>
          <w:sz w:val="24"/>
          <w:szCs w:val="24"/>
        </w:rPr>
      </w:pPr>
      <w:r w:rsidRPr="002B6139">
        <w:rPr>
          <w:rFonts w:asciiTheme="minorHAnsi" w:hAnsiTheme="minorHAnsi"/>
          <w:sz w:val="24"/>
          <w:szCs w:val="24"/>
        </w:rPr>
        <w:t xml:space="preserve">Test for </w:t>
      </w:r>
      <w:r w:rsidRPr="002B6139">
        <w:rPr>
          <w:rFonts w:asciiTheme="minorHAnsi" w:hAnsiTheme="minorHAnsi"/>
          <w:i/>
          <w:iCs/>
          <w:sz w:val="24"/>
          <w:szCs w:val="24"/>
        </w:rPr>
        <w:t>novus actus interveniens</w:t>
      </w:r>
      <w:r w:rsidRPr="002B6139">
        <w:rPr>
          <w:rFonts w:asciiTheme="minorHAnsi" w:hAnsiTheme="minorHAnsi"/>
          <w:sz w:val="24"/>
          <w:szCs w:val="24"/>
        </w:rPr>
        <w:t>: If the intervening act of the third party is a reasonably foreseeable consequence of the unreasonable risk created by the defendant’s negligent conduct, then it does not break the chain of legal causation. (Bradford v Kanellos 1973 SCC)</w:t>
      </w:r>
    </w:p>
    <w:p w14:paraId="429AB089" w14:textId="77777777" w:rsidR="007215C8" w:rsidRPr="002B6139" w:rsidRDefault="007215C8" w:rsidP="007215C8">
      <w:pPr>
        <w:pStyle w:val="ListParagraph"/>
        <w:numPr>
          <w:ilvl w:val="1"/>
          <w:numId w:val="16"/>
        </w:numPr>
        <w:spacing w:line="240" w:lineRule="auto"/>
        <w:rPr>
          <w:rFonts w:asciiTheme="minorHAnsi" w:hAnsiTheme="minorHAnsi"/>
          <w:sz w:val="24"/>
          <w:szCs w:val="24"/>
        </w:rPr>
      </w:pPr>
      <w:r w:rsidRPr="002B6139">
        <w:rPr>
          <w:rFonts w:asciiTheme="minorHAnsi" w:hAnsiTheme="minorHAnsi"/>
          <w:sz w:val="24"/>
          <w:szCs w:val="24"/>
        </w:rPr>
        <w:t>The intervening act must be both reasonably foreseeable and highly probable to not break the chain of legal causation. (Dorset Yacht 1970 UKHL)</w:t>
      </w:r>
    </w:p>
    <w:p w14:paraId="43733F53" w14:textId="77777777" w:rsidR="007215C8" w:rsidRPr="002B6139" w:rsidRDefault="007215C8" w:rsidP="007215C8">
      <w:pPr>
        <w:pStyle w:val="ListParagraph"/>
        <w:numPr>
          <w:ilvl w:val="2"/>
          <w:numId w:val="16"/>
        </w:numPr>
        <w:spacing w:line="240" w:lineRule="auto"/>
        <w:rPr>
          <w:rFonts w:asciiTheme="minorHAnsi" w:hAnsiTheme="minorHAnsi"/>
          <w:sz w:val="24"/>
          <w:szCs w:val="24"/>
        </w:rPr>
      </w:pPr>
      <w:r w:rsidRPr="002B6139">
        <w:rPr>
          <w:rFonts w:asciiTheme="minorHAnsi" w:hAnsiTheme="minorHAnsi"/>
          <w:sz w:val="24"/>
          <w:szCs w:val="24"/>
        </w:rPr>
        <w:t xml:space="preserve">Principle: “where human action forms one of the links between the original wrongdoing of the defendant and the loss suffered by the plaintiff, that action must at least have been something [that was reasonably foreseeable as being] very likely to happen if it is not to be regarded as </w:t>
      </w:r>
      <w:r w:rsidRPr="002B6139">
        <w:rPr>
          <w:rFonts w:asciiTheme="minorHAnsi" w:hAnsiTheme="minorHAnsi"/>
          <w:i/>
          <w:sz w:val="24"/>
          <w:szCs w:val="24"/>
        </w:rPr>
        <w:t>novus actus interveniens</w:t>
      </w:r>
      <w:r w:rsidRPr="002B6139">
        <w:rPr>
          <w:rFonts w:asciiTheme="minorHAnsi" w:hAnsiTheme="minorHAnsi"/>
          <w:sz w:val="24"/>
          <w:szCs w:val="24"/>
        </w:rPr>
        <w:t xml:space="preserve"> breaking the chain of causation.” (Dorset Yacht 1970 UKHL)</w:t>
      </w:r>
    </w:p>
    <w:p w14:paraId="0AF77A71" w14:textId="3D0ACD6D" w:rsidR="007215C8" w:rsidRPr="002B6139" w:rsidRDefault="00150053" w:rsidP="007215C8">
      <w:pPr>
        <w:pStyle w:val="Heading2"/>
      </w:pPr>
      <w:r w:rsidRPr="002B6139">
        <w:t>Legal Causation of Damage</w:t>
      </w:r>
    </w:p>
    <w:p w14:paraId="4EB271AF" w14:textId="3B795515" w:rsidR="00600B4F" w:rsidRPr="002B6139" w:rsidRDefault="00600B4F" w:rsidP="00ED6D76">
      <w:pPr>
        <w:pStyle w:val="ListParagraph"/>
        <w:numPr>
          <w:ilvl w:val="0"/>
          <w:numId w:val="11"/>
        </w:numPr>
        <w:rPr>
          <w:rFonts w:asciiTheme="minorHAnsi" w:hAnsiTheme="minorHAnsi"/>
          <w:sz w:val="24"/>
          <w:szCs w:val="24"/>
        </w:rPr>
      </w:pPr>
      <w:r w:rsidRPr="002B6139">
        <w:rPr>
          <w:rFonts w:asciiTheme="minorHAnsi" w:hAnsiTheme="minorHAnsi"/>
          <w:sz w:val="24"/>
          <w:szCs w:val="24"/>
        </w:rPr>
        <w:t xml:space="preserve">Re </w:t>
      </w:r>
      <w:proofErr w:type="spellStart"/>
      <w:r w:rsidRPr="002B6139">
        <w:rPr>
          <w:rFonts w:asciiTheme="minorHAnsi" w:hAnsiTheme="minorHAnsi"/>
          <w:sz w:val="24"/>
          <w:szCs w:val="24"/>
        </w:rPr>
        <w:t>Polemis</w:t>
      </w:r>
      <w:proofErr w:type="spellEnd"/>
      <w:r w:rsidRPr="002B6139">
        <w:rPr>
          <w:rFonts w:asciiTheme="minorHAnsi" w:hAnsiTheme="minorHAnsi"/>
          <w:sz w:val="24"/>
          <w:szCs w:val="24"/>
        </w:rPr>
        <w:t xml:space="preserve"> Rule</w:t>
      </w:r>
      <w:r w:rsidR="009E667B" w:rsidRPr="002B6139">
        <w:rPr>
          <w:rFonts w:asciiTheme="minorHAnsi" w:hAnsiTheme="minorHAnsi"/>
          <w:sz w:val="24"/>
          <w:szCs w:val="24"/>
        </w:rPr>
        <w:t xml:space="preserve"> (DOES NOT APPLY)</w:t>
      </w:r>
      <w:r w:rsidRPr="002B6139">
        <w:rPr>
          <w:rFonts w:asciiTheme="minorHAnsi" w:hAnsiTheme="minorHAnsi"/>
          <w:sz w:val="24"/>
          <w:szCs w:val="24"/>
        </w:rPr>
        <w:t>:</w:t>
      </w:r>
      <w:r w:rsidR="00D0194C" w:rsidRPr="002B6139">
        <w:rPr>
          <w:rFonts w:asciiTheme="minorHAnsi" w:hAnsiTheme="minorHAnsi"/>
          <w:sz w:val="24"/>
          <w:szCs w:val="24"/>
        </w:rPr>
        <w:t xml:space="preserve"> </w:t>
      </w:r>
      <w:r w:rsidR="00592469" w:rsidRPr="002B6139">
        <w:rPr>
          <w:rFonts w:asciiTheme="minorHAnsi" w:hAnsiTheme="minorHAnsi"/>
          <w:sz w:val="24"/>
          <w:szCs w:val="24"/>
        </w:rPr>
        <w:t xml:space="preserve">A negligent party is liable </w:t>
      </w:r>
      <w:r w:rsidR="000B02DC" w:rsidRPr="002B6139">
        <w:rPr>
          <w:rFonts w:asciiTheme="minorHAnsi" w:hAnsiTheme="minorHAnsi"/>
          <w:sz w:val="24"/>
          <w:szCs w:val="24"/>
        </w:rPr>
        <w:t xml:space="preserve">is liable for any damages directly caused by </w:t>
      </w:r>
      <w:r w:rsidR="0029116A" w:rsidRPr="002B6139">
        <w:rPr>
          <w:rFonts w:asciiTheme="minorHAnsi" w:hAnsiTheme="minorHAnsi"/>
          <w:sz w:val="24"/>
          <w:szCs w:val="24"/>
        </w:rPr>
        <w:t>their negligent</w:t>
      </w:r>
      <w:r w:rsidR="000B02DC" w:rsidRPr="002B6139">
        <w:rPr>
          <w:rFonts w:asciiTheme="minorHAnsi" w:hAnsiTheme="minorHAnsi"/>
          <w:sz w:val="24"/>
          <w:szCs w:val="24"/>
        </w:rPr>
        <w:t xml:space="preserve"> act, regardless of whether those damages were reasonably foreseeable</w:t>
      </w:r>
      <w:r w:rsidR="004278B1" w:rsidRPr="002B6139">
        <w:rPr>
          <w:rFonts w:asciiTheme="minorHAnsi" w:hAnsiTheme="minorHAnsi"/>
          <w:sz w:val="24"/>
          <w:szCs w:val="24"/>
        </w:rPr>
        <w:t xml:space="preserve"> or of a reasonably foreseeable type</w:t>
      </w:r>
      <w:r w:rsidR="000B02DC" w:rsidRPr="002B6139">
        <w:rPr>
          <w:rFonts w:asciiTheme="minorHAnsi" w:hAnsiTheme="minorHAnsi"/>
          <w:sz w:val="24"/>
          <w:szCs w:val="24"/>
        </w:rPr>
        <w:t>.</w:t>
      </w:r>
      <w:r w:rsidR="0029116A" w:rsidRPr="002B6139">
        <w:rPr>
          <w:rFonts w:asciiTheme="minorHAnsi" w:hAnsiTheme="minorHAnsi"/>
          <w:sz w:val="24"/>
          <w:szCs w:val="24"/>
        </w:rPr>
        <w:t xml:space="preserve"> </w:t>
      </w:r>
      <w:r w:rsidR="004C4107" w:rsidRPr="002B6139">
        <w:rPr>
          <w:rFonts w:asciiTheme="minorHAnsi" w:hAnsiTheme="minorHAnsi"/>
          <w:sz w:val="24"/>
          <w:szCs w:val="24"/>
        </w:rPr>
        <w:t xml:space="preserve">The only limitation is </w:t>
      </w:r>
      <w:r w:rsidR="005F7BAA" w:rsidRPr="002B6139">
        <w:rPr>
          <w:rFonts w:asciiTheme="minorHAnsi" w:hAnsiTheme="minorHAnsi"/>
          <w:sz w:val="24"/>
          <w:szCs w:val="24"/>
        </w:rPr>
        <w:t>interruption by an independent intervening cause.</w:t>
      </w:r>
      <w:r w:rsidR="00B2728F" w:rsidRPr="002B6139">
        <w:rPr>
          <w:rFonts w:asciiTheme="minorHAnsi" w:hAnsiTheme="minorHAnsi"/>
          <w:sz w:val="24"/>
          <w:szCs w:val="24"/>
        </w:rPr>
        <w:t xml:space="preserve"> (1921 UKCA)</w:t>
      </w:r>
    </w:p>
    <w:p w14:paraId="3E9C87E8" w14:textId="78B0EA31" w:rsidR="000847A0" w:rsidRPr="002B6139" w:rsidRDefault="00830BE3" w:rsidP="00ED6D76">
      <w:pPr>
        <w:pStyle w:val="ListParagraph"/>
        <w:numPr>
          <w:ilvl w:val="1"/>
          <w:numId w:val="11"/>
        </w:numPr>
        <w:rPr>
          <w:rFonts w:asciiTheme="minorHAnsi" w:hAnsiTheme="minorHAnsi"/>
          <w:sz w:val="24"/>
          <w:szCs w:val="24"/>
        </w:rPr>
      </w:pPr>
      <w:r w:rsidRPr="002B6139">
        <w:rPr>
          <w:rFonts w:asciiTheme="minorHAnsi" w:hAnsiTheme="minorHAnsi"/>
          <w:sz w:val="24"/>
          <w:szCs w:val="24"/>
        </w:rPr>
        <w:t>Third party damages:</w:t>
      </w:r>
      <w:r w:rsidR="00E85BA8" w:rsidRPr="002B6139">
        <w:rPr>
          <w:rFonts w:asciiTheme="minorHAnsi" w:eastAsiaTheme="minorEastAsia" w:hAnsiTheme="minorHAnsi"/>
          <w:kern w:val="0"/>
          <w:sz w:val="24"/>
          <w:szCs w:val="24"/>
          <w:lang w:eastAsia="ja-JP"/>
          <w14:ligatures w14:val="none"/>
        </w:rPr>
        <w:t xml:space="preserve"> </w:t>
      </w:r>
      <w:r w:rsidR="00EE2FBE" w:rsidRPr="002B6139">
        <w:rPr>
          <w:rFonts w:asciiTheme="minorHAnsi" w:eastAsiaTheme="minorEastAsia" w:hAnsiTheme="minorHAnsi"/>
          <w:kern w:val="0"/>
          <w:sz w:val="24"/>
          <w:szCs w:val="24"/>
          <w:lang w:eastAsia="ja-JP"/>
          <w14:ligatures w14:val="none"/>
        </w:rPr>
        <w:t>Damage to a third party constitutes a legal injury if that damage was the result of a direct causal chain flowing uninterrupted from the negligent act to that damage. (</w:t>
      </w:r>
      <w:r w:rsidR="00B2728F" w:rsidRPr="002B6139">
        <w:rPr>
          <w:rFonts w:asciiTheme="minorHAnsi" w:eastAsiaTheme="minorEastAsia" w:hAnsiTheme="minorHAnsi"/>
          <w:kern w:val="0"/>
          <w:sz w:val="24"/>
          <w:szCs w:val="24"/>
          <w:lang w:eastAsia="ja-JP"/>
          <w14:ligatures w14:val="none"/>
        </w:rPr>
        <w:t>Jeffrey and Finlayson v Copeland, 1923 ONSC Appellate Division)</w:t>
      </w:r>
    </w:p>
    <w:p w14:paraId="5BE06463" w14:textId="2E28FCDC" w:rsidR="006D63F4" w:rsidRPr="002B6139" w:rsidRDefault="00FF3DB2" w:rsidP="00D17AC5">
      <w:pPr>
        <w:pStyle w:val="ListParagraph"/>
        <w:numPr>
          <w:ilvl w:val="0"/>
          <w:numId w:val="11"/>
        </w:numPr>
        <w:rPr>
          <w:rFonts w:asciiTheme="minorHAnsi" w:hAnsiTheme="minorHAnsi"/>
          <w:sz w:val="24"/>
          <w:szCs w:val="24"/>
        </w:rPr>
      </w:pPr>
      <w:r w:rsidRPr="002B6139">
        <w:rPr>
          <w:rFonts w:asciiTheme="minorHAnsi" w:eastAsiaTheme="minorEastAsia" w:hAnsiTheme="minorHAnsi"/>
          <w:kern w:val="0"/>
          <w:sz w:val="24"/>
          <w:szCs w:val="24"/>
          <w:lang w:eastAsia="ja-JP"/>
          <w14:ligatures w14:val="none"/>
        </w:rPr>
        <w:t xml:space="preserve">Wagon Mound No 1 Rule: </w:t>
      </w:r>
      <w:r w:rsidR="00047765" w:rsidRPr="002B6139">
        <w:rPr>
          <w:rFonts w:asciiTheme="minorHAnsi" w:eastAsiaTheme="minorEastAsia" w:hAnsiTheme="minorHAnsi"/>
          <w:kern w:val="0"/>
          <w:sz w:val="24"/>
          <w:szCs w:val="24"/>
          <w:lang w:eastAsia="ja-JP"/>
          <w14:ligatures w14:val="none"/>
        </w:rPr>
        <w:t>The damage suffered by the plaintiff is not too remote i</w:t>
      </w:r>
      <w:r w:rsidR="00752CB8" w:rsidRPr="002B6139">
        <w:rPr>
          <w:rFonts w:asciiTheme="minorHAnsi" w:eastAsiaTheme="minorEastAsia" w:hAnsiTheme="minorHAnsi"/>
          <w:kern w:val="0"/>
          <w:sz w:val="24"/>
          <w:szCs w:val="24"/>
          <w:lang w:eastAsia="ja-JP"/>
          <w14:ligatures w14:val="none"/>
        </w:rPr>
        <w:t xml:space="preserve">f the type of damage suffered by the </w:t>
      </w:r>
      <w:r w:rsidR="005D1546" w:rsidRPr="002B6139">
        <w:rPr>
          <w:rFonts w:asciiTheme="minorHAnsi" w:eastAsiaTheme="minorEastAsia" w:hAnsiTheme="minorHAnsi"/>
          <w:kern w:val="0"/>
          <w:sz w:val="24"/>
          <w:szCs w:val="24"/>
          <w:lang w:eastAsia="ja-JP"/>
          <w14:ligatures w14:val="none"/>
        </w:rPr>
        <w:t>plaintiff</w:t>
      </w:r>
      <w:r w:rsidR="00752CB8" w:rsidRPr="002B6139">
        <w:rPr>
          <w:rFonts w:asciiTheme="minorHAnsi" w:eastAsiaTheme="minorEastAsia" w:hAnsiTheme="minorHAnsi"/>
          <w:kern w:val="0"/>
          <w:sz w:val="24"/>
          <w:szCs w:val="24"/>
          <w:lang w:eastAsia="ja-JP"/>
          <w14:ligatures w14:val="none"/>
        </w:rPr>
        <w:t xml:space="preserve"> was </w:t>
      </w:r>
      <w:r w:rsidR="00365EC0" w:rsidRPr="002B6139">
        <w:rPr>
          <w:rFonts w:asciiTheme="minorHAnsi" w:eastAsiaTheme="minorEastAsia" w:hAnsiTheme="minorHAnsi"/>
          <w:kern w:val="0"/>
          <w:sz w:val="24"/>
          <w:szCs w:val="24"/>
          <w:lang w:eastAsia="ja-JP"/>
          <w14:ligatures w14:val="none"/>
        </w:rPr>
        <w:t xml:space="preserve">a </w:t>
      </w:r>
      <w:r w:rsidR="00752CB8" w:rsidRPr="002B6139">
        <w:rPr>
          <w:rFonts w:asciiTheme="minorHAnsi" w:eastAsiaTheme="minorEastAsia" w:hAnsiTheme="minorHAnsi"/>
          <w:kern w:val="0"/>
          <w:sz w:val="24"/>
          <w:szCs w:val="24"/>
          <w:lang w:eastAsia="ja-JP"/>
          <w14:ligatures w14:val="none"/>
        </w:rPr>
        <w:t xml:space="preserve">reasonably </w:t>
      </w:r>
      <w:r w:rsidR="00D17AC5" w:rsidRPr="002B6139">
        <w:rPr>
          <w:rFonts w:asciiTheme="minorHAnsi" w:eastAsiaTheme="minorEastAsia" w:hAnsiTheme="minorHAnsi"/>
          <w:kern w:val="0"/>
          <w:sz w:val="24"/>
          <w:szCs w:val="24"/>
          <w:lang w:eastAsia="ja-JP"/>
          <w14:ligatures w14:val="none"/>
        </w:rPr>
        <w:t xml:space="preserve">foreseeable </w:t>
      </w:r>
      <w:r w:rsidR="00365EC0" w:rsidRPr="002B6139">
        <w:rPr>
          <w:rFonts w:asciiTheme="minorHAnsi" w:eastAsiaTheme="minorEastAsia" w:hAnsiTheme="minorHAnsi"/>
          <w:kern w:val="0"/>
          <w:sz w:val="24"/>
          <w:szCs w:val="24"/>
          <w:lang w:eastAsia="ja-JP"/>
          <w14:ligatures w14:val="none"/>
        </w:rPr>
        <w:t>consequence of the</w:t>
      </w:r>
      <w:r w:rsidR="00662F73" w:rsidRPr="002B6139">
        <w:rPr>
          <w:rFonts w:asciiTheme="minorHAnsi" w:eastAsiaTheme="minorEastAsia" w:hAnsiTheme="minorHAnsi"/>
          <w:kern w:val="0"/>
          <w:sz w:val="24"/>
          <w:szCs w:val="24"/>
          <w:lang w:eastAsia="ja-JP"/>
          <w14:ligatures w14:val="none"/>
        </w:rPr>
        <w:t xml:space="preserve"> </w:t>
      </w:r>
      <w:r w:rsidR="008F3484" w:rsidRPr="002B6139">
        <w:rPr>
          <w:rFonts w:asciiTheme="minorHAnsi" w:eastAsiaTheme="minorEastAsia" w:hAnsiTheme="minorHAnsi"/>
          <w:kern w:val="0"/>
          <w:sz w:val="24"/>
          <w:szCs w:val="24"/>
          <w:lang w:eastAsia="ja-JP"/>
          <w14:ligatures w14:val="none"/>
        </w:rPr>
        <w:t xml:space="preserve">unreasonable </w:t>
      </w:r>
      <w:r w:rsidR="00662F73" w:rsidRPr="002B6139">
        <w:rPr>
          <w:rFonts w:asciiTheme="minorHAnsi" w:eastAsiaTheme="minorEastAsia" w:hAnsiTheme="minorHAnsi"/>
          <w:kern w:val="0"/>
          <w:sz w:val="24"/>
          <w:szCs w:val="24"/>
          <w:lang w:eastAsia="ja-JP"/>
          <w14:ligatures w14:val="none"/>
        </w:rPr>
        <w:t>risk</w:t>
      </w:r>
      <w:r w:rsidR="00090F44" w:rsidRPr="002B6139">
        <w:rPr>
          <w:rFonts w:asciiTheme="minorHAnsi" w:eastAsiaTheme="minorEastAsia" w:hAnsiTheme="minorHAnsi"/>
          <w:kern w:val="0"/>
          <w:sz w:val="24"/>
          <w:szCs w:val="24"/>
          <w:lang w:eastAsia="ja-JP"/>
          <w14:ligatures w14:val="none"/>
        </w:rPr>
        <w:t>(s)</w:t>
      </w:r>
      <w:r w:rsidR="00662F73" w:rsidRPr="002B6139">
        <w:rPr>
          <w:rFonts w:asciiTheme="minorHAnsi" w:eastAsiaTheme="minorEastAsia" w:hAnsiTheme="minorHAnsi"/>
          <w:kern w:val="0"/>
          <w:sz w:val="24"/>
          <w:szCs w:val="24"/>
          <w:lang w:eastAsia="ja-JP"/>
          <w14:ligatures w14:val="none"/>
        </w:rPr>
        <w:t xml:space="preserve"> created by the</w:t>
      </w:r>
      <w:r w:rsidR="00331B1B" w:rsidRPr="002B6139">
        <w:rPr>
          <w:rFonts w:asciiTheme="minorHAnsi" w:eastAsiaTheme="minorEastAsia" w:hAnsiTheme="minorHAnsi"/>
          <w:kern w:val="0"/>
          <w:sz w:val="24"/>
          <w:szCs w:val="24"/>
          <w:lang w:eastAsia="ja-JP"/>
          <w14:ligatures w14:val="none"/>
        </w:rPr>
        <w:t xml:space="preserve"> </w:t>
      </w:r>
      <w:r w:rsidR="00365EC0" w:rsidRPr="002B6139">
        <w:rPr>
          <w:rFonts w:asciiTheme="minorHAnsi" w:eastAsiaTheme="minorEastAsia" w:hAnsiTheme="minorHAnsi"/>
          <w:kern w:val="0"/>
          <w:sz w:val="24"/>
          <w:szCs w:val="24"/>
          <w:lang w:eastAsia="ja-JP"/>
          <w14:ligatures w14:val="none"/>
        </w:rPr>
        <w:t>defendant’s breach of the duty of care</w:t>
      </w:r>
      <w:r w:rsidR="00752CB8" w:rsidRPr="002B6139">
        <w:rPr>
          <w:rFonts w:asciiTheme="minorHAnsi" w:eastAsiaTheme="minorEastAsia" w:hAnsiTheme="minorHAnsi"/>
          <w:kern w:val="0"/>
          <w:sz w:val="24"/>
          <w:szCs w:val="24"/>
          <w:lang w:eastAsia="ja-JP"/>
          <w14:ligatures w14:val="none"/>
        </w:rPr>
        <w:t>.</w:t>
      </w:r>
      <w:r w:rsidR="007620EF" w:rsidRPr="002B6139">
        <w:rPr>
          <w:rFonts w:asciiTheme="minorHAnsi" w:eastAsiaTheme="minorEastAsia" w:hAnsiTheme="minorHAnsi"/>
          <w:kern w:val="0"/>
          <w:sz w:val="24"/>
          <w:szCs w:val="24"/>
          <w:lang w:eastAsia="ja-JP"/>
          <w14:ligatures w14:val="none"/>
        </w:rPr>
        <w:t xml:space="preserve"> (</w:t>
      </w:r>
      <w:r w:rsidR="00852AF2" w:rsidRPr="002B6139">
        <w:rPr>
          <w:rFonts w:asciiTheme="minorHAnsi" w:eastAsiaTheme="minorEastAsia" w:hAnsiTheme="minorHAnsi"/>
          <w:kern w:val="0"/>
          <w:sz w:val="24"/>
          <w:szCs w:val="24"/>
          <w:lang w:eastAsia="ja-JP"/>
          <w14:ligatures w14:val="none"/>
        </w:rPr>
        <w:t>1961 UKPC) REPLACES RE POLEMIS</w:t>
      </w:r>
    </w:p>
    <w:p w14:paraId="043A6089" w14:textId="77777777" w:rsidR="0038006A" w:rsidRPr="002B6139" w:rsidRDefault="0038006A" w:rsidP="0038006A">
      <w:pPr>
        <w:pStyle w:val="ListParagraph"/>
        <w:numPr>
          <w:ilvl w:val="0"/>
          <w:numId w:val="11"/>
        </w:numPr>
        <w:rPr>
          <w:rFonts w:asciiTheme="minorHAnsi" w:hAnsiTheme="minorHAnsi"/>
          <w:sz w:val="24"/>
          <w:szCs w:val="24"/>
        </w:rPr>
      </w:pPr>
      <w:r w:rsidRPr="002B6139">
        <w:rPr>
          <w:rFonts w:asciiTheme="minorHAnsi" w:hAnsiTheme="minorHAnsi"/>
          <w:sz w:val="24"/>
          <w:szCs w:val="24"/>
        </w:rPr>
        <w:t>It is the type of damage suffered by the plaintiff which must be a reasonably foreseeable consequence of the unreasonable risk created by the defendant’s breach of their duty of care, not the method or agency by which the specific damage was inflicted. (Hughes v Lord Advocate 1963 UKHL)</w:t>
      </w:r>
    </w:p>
    <w:p w14:paraId="4E9617CC" w14:textId="77777777" w:rsidR="0038006A" w:rsidRPr="002B6139" w:rsidRDefault="0038006A" w:rsidP="0038006A">
      <w:pPr>
        <w:pStyle w:val="ListParagraph"/>
        <w:numPr>
          <w:ilvl w:val="0"/>
          <w:numId w:val="11"/>
        </w:numPr>
        <w:rPr>
          <w:rFonts w:asciiTheme="minorHAnsi" w:hAnsiTheme="minorHAnsi"/>
          <w:sz w:val="24"/>
          <w:szCs w:val="24"/>
        </w:rPr>
      </w:pPr>
      <w:r w:rsidRPr="002B6139">
        <w:rPr>
          <w:rFonts w:asciiTheme="minorHAnsi" w:hAnsiTheme="minorHAnsi"/>
          <w:sz w:val="24"/>
          <w:szCs w:val="24"/>
        </w:rPr>
        <w:t>“[What] must have been foreseen is not the precise injury which occurred but injury of a given description. The foreseeability is not as to the particulars but the genus. And the description is formulated by reference to the nature of the risk which ought to have been foreseen.” (Jolley v Sutton 2000 UKHL)</w:t>
      </w:r>
    </w:p>
    <w:p w14:paraId="6F1BD781" w14:textId="77777777" w:rsidR="0038006A" w:rsidRPr="002B6139" w:rsidRDefault="0038006A" w:rsidP="0038006A">
      <w:pPr>
        <w:pStyle w:val="ListParagraph"/>
        <w:numPr>
          <w:ilvl w:val="0"/>
          <w:numId w:val="11"/>
        </w:numPr>
        <w:rPr>
          <w:rFonts w:asciiTheme="minorHAnsi" w:hAnsiTheme="minorHAnsi"/>
          <w:sz w:val="24"/>
          <w:szCs w:val="24"/>
        </w:rPr>
      </w:pPr>
      <w:r w:rsidRPr="002B6139">
        <w:rPr>
          <w:rFonts w:asciiTheme="minorHAnsi" w:hAnsiTheme="minorHAnsi"/>
          <w:sz w:val="24"/>
          <w:szCs w:val="24"/>
        </w:rPr>
        <w:t xml:space="preserve">Risk description Procedure from Jolley v Sutton: </w:t>
      </w:r>
      <w:r w:rsidRPr="002B6139">
        <w:rPr>
          <w:sz w:val="24"/>
          <w:szCs w:val="24"/>
        </w:rPr>
        <w:t>When deciding whether to use a more general risk description over a narrower risk description:</w:t>
      </w:r>
    </w:p>
    <w:p w14:paraId="1A276D5F" w14:textId="77777777" w:rsidR="0038006A" w:rsidRPr="002B6139" w:rsidRDefault="0038006A" w:rsidP="0038006A">
      <w:pPr>
        <w:pStyle w:val="ListParagraph"/>
        <w:numPr>
          <w:ilvl w:val="1"/>
          <w:numId w:val="11"/>
        </w:numPr>
        <w:rPr>
          <w:rFonts w:asciiTheme="minorHAnsi" w:hAnsiTheme="minorHAnsi"/>
          <w:sz w:val="24"/>
          <w:szCs w:val="24"/>
        </w:rPr>
      </w:pPr>
      <w:r w:rsidRPr="002B6139">
        <w:rPr>
          <w:sz w:val="24"/>
          <w:szCs w:val="24"/>
        </w:rPr>
        <w:lastRenderedPageBreak/>
        <w:t xml:space="preserve">(1) Determine whether the more general risk description results in a reasonably foreseeable risk of the same type as the narrow description. </w:t>
      </w:r>
    </w:p>
    <w:p w14:paraId="759B9293" w14:textId="77777777" w:rsidR="0038006A" w:rsidRPr="002B6139" w:rsidRDefault="0038006A" w:rsidP="0038006A">
      <w:pPr>
        <w:pStyle w:val="ListParagraph"/>
        <w:numPr>
          <w:ilvl w:val="1"/>
          <w:numId w:val="11"/>
        </w:numPr>
        <w:rPr>
          <w:rFonts w:asciiTheme="minorHAnsi" w:hAnsiTheme="minorHAnsi"/>
          <w:sz w:val="24"/>
          <w:szCs w:val="24"/>
        </w:rPr>
      </w:pPr>
      <w:r w:rsidRPr="002B6139">
        <w:rPr>
          <w:sz w:val="24"/>
          <w:szCs w:val="24"/>
        </w:rPr>
        <w:t>(2) If not, then determine whether the more general risk is reasonably foreseeable and whether a reasonable person would prevent it. See Bolton v Stone.</w:t>
      </w:r>
    </w:p>
    <w:p w14:paraId="6C531307" w14:textId="77777777" w:rsidR="0038006A" w:rsidRPr="002B6139" w:rsidRDefault="0038006A" w:rsidP="0038006A">
      <w:pPr>
        <w:pStyle w:val="ListParagraph"/>
        <w:numPr>
          <w:ilvl w:val="1"/>
          <w:numId w:val="11"/>
        </w:numPr>
        <w:spacing w:line="240" w:lineRule="auto"/>
        <w:rPr>
          <w:sz w:val="24"/>
          <w:szCs w:val="24"/>
        </w:rPr>
      </w:pPr>
      <w:r w:rsidRPr="002B6139">
        <w:rPr>
          <w:sz w:val="24"/>
          <w:szCs w:val="24"/>
        </w:rPr>
        <w:t xml:space="preserve">(3) If so, then determine whether that risk is real or extremely improbable. </w:t>
      </w:r>
    </w:p>
    <w:p w14:paraId="4A0DD6AC" w14:textId="77777777" w:rsidR="0038006A" w:rsidRPr="002B6139" w:rsidRDefault="0038006A" w:rsidP="0038006A">
      <w:pPr>
        <w:pStyle w:val="ListParagraph"/>
        <w:numPr>
          <w:ilvl w:val="1"/>
          <w:numId w:val="11"/>
        </w:numPr>
        <w:spacing w:line="240" w:lineRule="auto"/>
        <w:rPr>
          <w:sz w:val="24"/>
          <w:szCs w:val="24"/>
        </w:rPr>
      </w:pPr>
      <w:r w:rsidRPr="002B6139">
        <w:rPr>
          <w:sz w:val="24"/>
          <w:szCs w:val="24"/>
        </w:rPr>
        <w:t xml:space="preserve">(4) If it is real, then use the more general description. </w:t>
      </w:r>
    </w:p>
    <w:p w14:paraId="0FF16A51" w14:textId="77777777" w:rsidR="0038006A" w:rsidRPr="002B6139" w:rsidRDefault="0038006A" w:rsidP="0038006A">
      <w:pPr>
        <w:pStyle w:val="ListParagraph"/>
        <w:numPr>
          <w:ilvl w:val="1"/>
          <w:numId w:val="11"/>
        </w:numPr>
        <w:spacing w:line="240" w:lineRule="auto"/>
        <w:rPr>
          <w:sz w:val="24"/>
          <w:szCs w:val="24"/>
        </w:rPr>
      </w:pPr>
      <w:r w:rsidRPr="002B6139">
        <w:rPr>
          <w:sz w:val="24"/>
          <w:szCs w:val="24"/>
        </w:rPr>
        <w:t xml:space="preserve">(5) If it is extremely improbable, then would preventing it impose undue costs or require a person to abstain from some otherwise reasonable activity? </w:t>
      </w:r>
    </w:p>
    <w:p w14:paraId="06D4C6B0" w14:textId="4D97A1D7" w:rsidR="0038006A" w:rsidRPr="002B6139" w:rsidRDefault="0038006A" w:rsidP="0038006A">
      <w:pPr>
        <w:pStyle w:val="ListParagraph"/>
        <w:numPr>
          <w:ilvl w:val="2"/>
          <w:numId w:val="11"/>
        </w:numPr>
        <w:spacing w:line="240" w:lineRule="auto"/>
        <w:rPr>
          <w:sz w:val="24"/>
          <w:szCs w:val="24"/>
        </w:rPr>
      </w:pPr>
      <w:r w:rsidRPr="002B6139">
        <w:rPr>
          <w:sz w:val="24"/>
          <w:szCs w:val="24"/>
        </w:rPr>
        <w:t>If so, then no breach of standard of care. Use the narrower description.</w:t>
      </w:r>
    </w:p>
    <w:p w14:paraId="4320BC98" w14:textId="011BFF72" w:rsidR="00D871E5" w:rsidRPr="002B6139" w:rsidRDefault="0030016D" w:rsidP="00845287">
      <w:pPr>
        <w:pStyle w:val="ListParagraph"/>
        <w:numPr>
          <w:ilvl w:val="0"/>
          <w:numId w:val="11"/>
        </w:numPr>
        <w:rPr>
          <w:rFonts w:asciiTheme="minorHAnsi" w:hAnsiTheme="minorHAnsi"/>
          <w:sz w:val="24"/>
          <w:szCs w:val="24"/>
        </w:rPr>
      </w:pPr>
      <w:r w:rsidRPr="002B6139">
        <w:rPr>
          <w:rFonts w:asciiTheme="minorHAnsi" w:hAnsiTheme="minorHAnsi"/>
          <w:sz w:val="24"/>
          <w:szCs w:val="24"/>
        </w:rPr>
        <w:t>SAAMCO Principle</w:t>
      </w:r>
      <w:r w:rsidR="00D871E5" w:rsidRPr="002B6139">
        <w:rPr>
          <w:rFonts w:asciiTheme="minorHAnsi" w:hAnsiTheme="minorHAnsi"/>
          <w:sz w:val="24"/>
          <w:szCs w:val="24"/>
        </w:rPr>
        <w:t xml:space="preserve">: The damage is too remote if it is not within the scope of the duty of care. The damage is not within the scope of the duty of care if it is not within the scope of the </w:t>
      </w:r>
      <w:r w:rsidR="00EF407F" w:rsidRPr="002B6139">
        <w:rPr>
          <w:rFonts w:asciiTheme="minorHAnsi" w:hAnsiTheme="minorHAnsi"/>
          <w:sz w:val="24"/>
          <w:szCs w:val="24"/>
        </w:rPr>
        <w:t>unreasonable</w:t>
      </w:r>
      <w:r w:rsidR="00D871E5" w:rsidRPr="002B6139">
        <w:rPr>
          <w:rFonts w:asciiTheme="minorHAnsi" w:hAnsiTheme="minorHAnsi"/>
          <w:sz w:val="24"/>
          <w:szCs w:val="24"/>
        </w:rPr>
        <w:t xml:space="preserve"> risk</w:t>
      </w:r>
      <w:r w:rsidR="00EF407F" w:rsidRPr="002B6139">
        <w:rPr>
          <w:rFonts w:asciiTheme="minorHAnsi" w:hAnsiTheme="minorHAnsi"/>
          <w:sz w:val="24"/>
          <w:szCs w:val="24"/>
        </w:rPr>
        <w:t>(</w:t>
      </w:r>
      <w:r w:rsidR="00D871E5" w:rsidRPr="002B6139">
        <w:rPr>
          <w:rFonts w:asciiTheme="minorHAnsi" w:hAnsiTheme="minorHAnsi"/>
          <w:sz w:val="24"/>
          <w:szCs w:val="24"/>
        </w:rPr>
        <w:t>s</w:t>
      </w:r>
      <w:r w:rsidR="00EF407F" w:rsidRPr="002B6139">
        <w:rPr>
          <w:rFonts w:asciiTheme="minorHAnsi" w:hAnsiTheme="minorHAnsi"/>
          <w:sz w:val="24"/>
          <w:szCs w:val="24"/>
        </w:rPr>
        <w:t>)</w:t>
      </w:r>
      <w:r w:rsidR="00D871E5" w:rsidRPr="002B6139">
        <w:rPr>
          <w:rFonts w:asciiTheme="minorHAnsi" w:hAnsiTheme="minorHAnsi"/>
          <w:sz w:val="24"/>
          <w:szCs w:val="24"/>
        </w:rPr>
        <w:t xml:space="preserve"> by reason of which the defendant’s conduct was characterized as negligent. (SAAMCO 1997 UKHL, Keeton, Legal Cause in the Law of Torts)</w:t>
      </w:r>
    </w:p>
    <w:p w14:paraId="32F158DA" w14:textId="6D355707" w:rsidR="006B4289" w:rsidRPr="002B6139" w:rsidRDefault="00147E10" w:rsidP="00845287">
      <w:pPr>
        <w:pStyle w:val="ListParagraph"/>
        <w:numPr>
          <w:ilvl w:val="1"/>
          <w:numId w:val="11"/>
        </w:numPr>
        <w:rPr>
          <w:rFonts w:asciiTheme="minorHAnsi" w:hAnsiTheme="minorHAnsi"/>
          <w:sz w:val="24"/>
          <w:szCs w:val="24"/>
        </w:rPr>
      </w:pPr>
      <w:r w:rsidRPr="002B6139">
        <w:rPr>
          <w:rFonts w:asciiTheme="minorHAnsi" w:hAnsiTheme="minorHAnsi"/>
          <w:sz w:val="24"/>
          <w:szCs w:val="24"/>
        </w:rPr>
        <w:t xml:space="preserve">The plaintiff must prove that the </w:t>
      </w:r>
      <w:r w:rsidR="001E293A" w:rsidRPr="002B6139">
        <w:rPr>
          <w:rFonts w:asciiTheme="minorHAnsi" w:hAnsiTheme="minorHAnsi"/>
          <w:sz w:val="24"/>
          <w:szCs w:val="24"/>
        </w:rPr>
        <w:t>defendant owed him a duty of care that was a duty in respect of the kind of loss which he has suffered.</w:t>
      </w:r>
      <w:r w:rsidR="00D50561" w:rsidRPr="002B6139">
        <w:rPr>
          <w:rFonts w:asciiTheme="minorHAnsi" w:hAnsiTheme="minorHAnsi"/>
          <w:sz w:val="24"/>
          <w:szCs w:val="24"/>
        </w:rPr>
        <w:t xml:space="preserve"> The scope of the duty is determined by the </w:t>
      </w:r>
      <w:r w:rsidR="00D85CF1" w:rsidRPr="002B6139">
        <w:rPr>
          <w:rFonts w:asciiTheme="minorHAnsi" w:hAnsiTheme="minorHAnsi"/>
          <w:sz w:val="24"/>
          <w:szCs w:val="24"/>
        </w:rPr>
        <w:t>purpose of the rule imposing the duty of care. The rule for duty of care is the Negligence Principle from Donoghue v Ste</w:t>
      </w:r>
      <w:r w:rsidR="00F74FC0" w:rsidRPr="002B6139">
        <w:rPr>
          <w:rFonts w:asciiTheme="minorHAnsi" w:hAnsiTheme="minorHAnsi"/>
          <w:sz w:val="24"/>
          <w:szCs w:val="24"/>
        </w:rPr>
        <w:t>v</w:t>
      </w:r>
      <w:r w:rsidR="00D85CF1" w:rsidRPr="002B6139">
        <w:rPr>
          <w:rFonts w:asciiTheme="minorHAnsi" w:hAnsiTheme="minorHAnsi"/>
          <w:sz w:val="24"/>
          <w:szCs w:val="24"/>
        </w:rPr>
        <w:t>enson</w:t>
      </w:r>
      <w:r w:rsidR="00F74FC0" w:rsidRPr="002B6139">
        <w:rPr>
          <w:rFonts w:asciiTheme="minorHAnsi" w:hAnsiTheme="minorHAnsi"/>
          <w:sz w:val="24"/>
          <w:szCs w:val="24"/>
        </w:rPr>
        <w:t>: “You must take reasonable care to avoid acts or omissions which you can reasonably foresee would be likely to injure your neighbour.” The purpose underlying that rule</w:t>
      </w:r>
      <w:r w:rsidR="00282137" w:rsidRPr="002B6139">
        <w:rPr>
          <w:rFonts w:asciiTheme="minorHAnsi" w:hAnsiTheme="minorHAnsi"/>
          <w:sz w:val="24"/>
          <w:szCs w:val="24"/>
        </w:rPr>
        <w:t xml:space="preserve"> is to limit liability for wrongful acts to the consequences of those acts which are attributable to what made them wrongful.</w:t>
      </w:r>
      <w:r w:rsidR="00020BE8" w:rsidRPr="002B6139">
        <w:rPr>
          <w:rFonts w:asciiTheme="minorHAnsi" w:hAnsiTheme="minorHAnsi"/>
          <w:sz w:val="24"/>
          <w:szCs w:val="24"/>
        </w:rPr>
        <w:t xml:space="preserve"> So</w:t>
      </w:r>
      <w:r w:rsidR="00471F85" w:rsidRPr="002B6139">
        <w:rPr>
          <w:rFonts w:asciiTheme="minorHAnsi" w:hAnsiTheme="minorHAnsi"/>
          <w:sz w:val="24"/>
          <w:szCs w:val="24"/>
        </w:rPr>
        <w:t>, the scope of the duty of care is determined b</w:t>
      </w:r>
      <w:r w:rsidR="00791068" w:rsidRPr="002B6139">
        <w:rPr>
          <w:rFonts w:asciiTheme="minorHAnsi" w:hAnsiTheme="minorHAnsi"/>
          <w:sz w:val="24"/>
          <w:szCs w:val="24"/>
        </w:rPr>
        <w:t xml:space="preserve">y </w:t>
      </w:r>
      <w:r w:rsidR="00596187" w:rsidRPr="002B6139">
        <w:rPr>
          <w:rFonts w:asciiTheme="minorHAnsi" w:hAnsiTheme="minorHAnsi"/>
          <w:sz w:val="24"/>
          <w:szCs w:val="24"/>
        </w:rPr>
        <w:t xml:space="preserve">the scope of </w:t>
      </w:r>
      <w:r w:rsidR="00071E75" w:rsidRPr="002B6139">
        <w:rPr>
          <w:rFonts w:asciiTheme="minorHAnsi" w:hAnsiTheme="minorHAnsi"/>
          <w:sz w:val="24"/>
          <w:szCs w:val="24"/>
        </w:rPr>
        <w:t>the unreasonable</w:t>
      </w:r>
      <w:r w:rsidR="00596187" w:rsidRPr="002B6139">
        <w:rPr>
          <w:rFonts w:asciiTheme="minorHAnsi" w:hAnsiTheme="minorHAnsi"/>
          <w:sz w:val="24"/>
          <w:szCs w:val="24"/>
        </w:rPr>
        <w:t xml:space="preserve"> “risks by reason of which the defendant’s conduct was characterized as negligence.”</w:t>
      </w:r>
      <w:r w:rsidR="00EE2C9B" w:rsidRPr="002B6139">
        <w:rPr>
          <w:rFonts w:asciiTheme="minorHAnsi" w:hAnsiTheme="minorHAnsi"/>
          <w:sz w:val="24"/>
          <w:szCs w:val="24"/>
        </w:rPr>
        <w:t xml:space="preserve"> (Quote from Keeton, Legal Cause in the Law of Torts)</w:t>
      </w:r>
      <w:r w:rsidR="00092FA9" w:rsidRPr="002B6139">
        <w:rPr>
          <w:rFonts w:asciiTheme="minorHAnsi" w:hAnsiTheme="minorHAnsi"/>
          <w:sz w:val="24"/>
          <w:szCs w:val="24"/>
        </w:rPr>
        <w:t xml:space="preserve"> (SAAMCO 1997 UKHL)</w:t>
      </w:r>
    </w:p>
    <w:p w14:paraId="41DDC413" w14:textId="3644BC17" w:rsidR="00B258AA" w:rsidRPr="002B6139" w:rsidRDefault="00B258AA" w:rsidP="00B258AA">
      <w:pPr>
        <w:pStyle w:val="ListParagraph"/>
        <w:numPr>
          <w:ilvl w:val="1"/>
          <w:numId w:val="11"/>
        </w:numPr>
        <w:rPr>
          <w:rFonts w:asciiTheme="minorHAnsi" w:hAnsiTheme="minorHAnsi"/>
          <w:sz w:val="24"/>
          <w:szCs w:val="24"/>
        </w:rPr>
      </w:pPr>
      <w:r w:rsidRPr="002B6139">
        <w:rPr>
          <w:rFonts w:asciiTheme="minorHAnsi" w:hAnsiTheme="minorHAnsi"/>
          <w:sz w:val="24"/>
          <w:szCs w:val="24"/>
        </w:rPr>
        <w:t xml:space="preserve">Example: Doughty v Turner 1964 UKCA – no liability for damage caused by burning due to explosion of asbestos lid which slipped into molten metal and was left there for some time since burning due to explosion not within scope of duty since risk </w:t>
      </w:r>
      <w:r w:rsidR="00BF3317" w:rsidRPr="002B6139">
        <w:rPr>
          <w:rFonts w:asciiTheme="minorHAnsi" w:hAnsiTheme="minorHAnsi"/>
          <w:sz w:val="24"/>
          <w:szCs w:val="24"/>
        </w:rPr>
        <w:t xml:space="preserve">of explosion resulting from leaving lid in molten metal </w:t>
      </w:r>
      <w:r w:rsidRPr="002B6139">
        <w:rPr>
          <w:rFonts w:asciiTheme="minorHAnsi" w:hAnsiTheme="minorHAnsi"/>
          <w:sz w:val="24"/>
          <w:szCs w:val="24"/>
        </w:rPr>
        <w:t>was not foreseeable.</w:t>
      </w:r>
    </w:p>
    <w:p w14:paraId="73E4D39B" w14:textId="06E81751" w:rsidR="001D7EDD" w:rsidRPr="002B6139" w:rsidRDefault="009346F9" w:rsidP="001D7EDD">
      <w:pPr>
        <w:pStyle w:val="Heading3"/>
      </w:pPr>
      <w:r w:rsidRPr="002B6139">
        <w:t>Thin Skull Rule and Remoteness</w:t>
      </w:r>
    </w:p>
    <w:p w14:paraId="5C4DA232" w14:textId="51C4914F" w:rsidR="00872D0B" w:rsidRPr="002B6139" w:rsidRDefault="00872D0B" w:rsidP="00872D0B">
      <w:pPr>
        <w:pStyle w:val="ListParagraph"/>
        <w:numPr>
          <w:ilvl w:val="0"/>
          <w:numId w:val="12"/>
        </w:numPr>
        <w:spacing w:line="240" w:lineRule="auto"/>
        <w:rPr>
          <w:rFonts w:asciiTheme="minorHAnsi" w:hAnsiTheme="minorHAnsi"/>
          <w:sz w:val="24"/>
          <w:szCs w:val="24"/>
        </w:rPr>
      </w:pPr>
      <w:r w:rsidRPr="002B6139">
        <w:rPr>
          <w:rFonts w:asciiTheme="minorHAnsi" w:hAnsiTheme="minorHAnsi"/>
          <w:sz w:val="24"/>
          <w:szCs w:val="24"/>
        </w:rPr>
        <w:t>Thin Skull Rule:</w:t>
      </w:r>
      <w:r w:rsidRPr="002B6139">
        <w:rPr>
          <w:rFonts w:asciiTheme="minorHAnsi" w:eastAsiaTheme="minorEastAsia" w:hAnsiTheme="minorHAnsi"/>
          <w:kern w:val="0"/>
          <w:sz w:val="24"/>
          <w:szCs w:val="24"/>
          <w:lang w:eastAsia="ja-JP"/>
          <w14:ligatures w14:val="none"/>
        </w:rPr>
        <w:t xml:space="preserve"> </w:t>
      </w:r>
      <w:r w:rsidR="00103DB8" w:rsidRPr="002B6139">
        <w:rPr>
          <w:rFonts w:asciiTheme="minorHAnsi" w:eastAsiaTheme="minorEastAsia" w:hAnsiTheme="minorHAnsi"/>
          <w:kern w:val="0"/>
          <w:sz w:val="24"/>
          <w:szCs w:val="24"/>
          <w:lang w:eastAsia="ja-JP"/>
          <w14:ligatures w14:val="none"/>
        </w:rPr>
        <w:t xml:space="preserve">In personal injury cases, </w:t>
      </w:r>
      <w:r w:rsidR="00103DB8" w:rsidRPr="002B6139">
        <w:rPr>
          <w:rFonts w:asciiTheme="minorHAnsi" w:hAnsiTheme="minorHAnsi"/>
          <w:sz w:val="24"/>
          <w:szCs w:val="24"/>
        </w:rPr>
        <w:t>t</w:t>
      </w:r>
      <w:r w:rsidRPr="002B6139">
        <w:rPr>
          <w:rFonts w:asciiTheme="minorHAnsi" w:hAnsiTheme="minorHAnsi"/>
          <w:sz w:val="24"/>
          <w:szCs w:val="24"/>
        </w:rPr>
        <w:t>ortfeasors must take their victims as they find them.</w:t>
      </w:r>
      <w:r w:rsidR="00103DB8" w:rsidRPr="002B6139">
        <w:rPr>
          <w:rFonts w:asciiTheme="minorHAnsi" w:hAnsiTheme="minorHAnsi"/>
          <w:sz w:val="24"/>
          <w:szCs w:val="24"/>
        </w:rPr>
        <w:t xml:space="preserve"> (Smith v Leech Brain 1962 UKCA)</w:t>
      </w:r>
    </w:p>
    <w:p w14:paraId="29DCE076" w14:textId="27EA2D33" w:rsidR="009346F9" w:rsidRPr="002B6139" w:rsidRDefault="00872D0B" w:rsidP="00872D0B">
      <w:pPr>
        <w:pStyle w:val="ListParagraph"/>
        <w:numPr>
          <w:ilvl w:val="1"/>
          <w:numId w:val="12"/>
        </w:numPr>
        <w:rPr>
          <w:rFonts w:asciiTheme="minorHAnsi" w:hAnsiTheme="minorHAnsi"/>
          <w:sz w:val="24"/>
          <w:szCs w:val="24"/>
        </w:rPr>
      </w:pPr>
      <w:r w:rsidRPr="002B6139">
        <w:rPr>
          <w:rFonts w:asciiTheme="minorHAnsi" w:hAnsiTheme="minorHAnsi"/>
          <w:sz w:val="24"/>
          <w:szCs w:val="24"/>
        </w:rPr>
        <w:t xml:space="preserve">The </w:t>
      </w:r>
      <w:r w:rsidR="00EA3AAF" w:rsidRPr="002B6139">
        <w:rPr>
          <w:rFonts w:asciiTheme="minorHAnsi" w:hAnsiTheme="minorHAnsi"/>
          <w:sz w:val="24"/>
          <w:szCs w:val="24"/>
        </w:rPr>
        <w:t xml:space="preserve">extent of the </w:t>
      </w:r>
      <w:r w:rsidRPr="002B6139">
        <w:rPr>
          <w:rFonts w:asciiTheme="minorHAnsi" w:hAnsiTheme="minorHAnsi"/>
          <w:sz w:val="24"/>
          <w:szCs w:val="24"/>
        </w:rPr>
        <w:t>damage suffered by the plaintiff depends on the</w:t>
      </w:r>
      <w:r w:rsidR="00281E54" w:rsidRPr="002B6139">
        <w:rPr>
          <w:rFonts w:asciiTheme="minorHAnsi" w:hAnsiTheme="minorHAnsi"/>
          <w:sz w:val="24"/>
          <w:szCs w:val="24"/>
        </w:rPr>
        <w:t>ir</w:t>
      </w:r>
      <w:r w:rsidRPr="002B6139">
        <w:rPr>
          <w:rFonts w:asciiTheme="minorHAnsi" w:hAnsiTheme="minorHAnsi"/>
          <w:sz w:val="24"/>
          <w:szCs w:val="24"/>
        </w:rPr>
        <w:t xml:space="preserve"> characteristics and constitution.</w:t>
      </w:r>
    </w:p>
    <w:p w14:paraId="1DD11204" w14:textId="3789F57A" w:rsidR="000C57AE" w:rsidRPr="002B6139" w:rsidRDefault="000C57AE" w:rsidP="000C57AE">
      <w:pPr>
        <w:pStyle w:val="ListParagraph"/>
        <w:numPr>
          <w:ilvl w:val="0"/>
          <w:numId w:val="12"/>
        </w:numPr>
        <w:spacing w:line="240" w:lineRule="auto"/>
        <w:rPr>
          <w:rFonts w:asciiTheme="minorHAnsi" w:hAnsiTheme="minorHAnsi"/>
          <w:sz w:val="24"/>
          <w:szCs w:val="24"/>
        </w:rPr>
      </w:pPr>
      <w:r w:rsidRPr="002B6139">
        <w:rPr>
          <w:rFonts w:asciiTheme="minorHAnsi" w:hAnsiTheme="minorHAnsi"/>
          <w:sz w:val="24"/>
          <w:szCs w:val="24"/>
        </w:rPr>
        <w:t xml:space="preserve">The extent of the damage suffered by an injured party because of a negligent act depends on the characteristics and constitution of the injured party, and upon the </w:t>
      </w:r>
      <w:r w:rsidRPr="002B6139">
        <w:rPr>
          <w:rFonts w:asciiTheme="minorHAnsi" w:hAnsiTheme="minorHAnsi"/>
          <w:sz w:val="24"/>
          <w:szCs w:val="24"/>
        </w:rPr>
        <w:lastRenderedPageBreak/>
        <w:t xml:space="preserve">operation of any new risks to which they are exposed </w:t>
      </w:r>
      <w:proofErr w:type="gramStart"/>
      <w:r w:rsidRPr="002B6139">
        <w:rPr>
          <w:rFonts w:asciiTheme="minorHAnsi" w:hAnsiTheme="minorHAnsi"/>
          <w:sz w:val="24"/>
          <w:szCs w:val="24"/>
        </w:rPr>
        <w:t>as a result of</w:t>
      </w:r>
      <w:proofErr w:type="gramEnd"/>
      <w:r w:rsidRPr="002B6139">
        <w:rPr>
          <w:rFonts w:asciiTheme="minorHAnsi" w:hAnsiTheme="minorHAnsi"/>
          <w:sz w:val="24"/>
          <w:szCs w:val="24"/>
        </w:rPr>
        <w:t xml:space="preserve"> that damage.</w:t>
      </w:r>
      <w:r w:rsidR="00103DB8" w:rsidRPr="002B6139">
        <w:rPr>
          <w:rFonts w:asciiTheme="minorHAnsi" w:hAnsiTheme="minorHAnsi"/>
          <w:sz w:val="24"/>
          <w:szCs w:val="24"/>
        </w:rPr>
        <w:t xml:space="preserve"> (Stephenson v Waite </w:t>
      </w:r>
      <w:proofErr w:type="spellStart"/>
      <w:r w:rsidR="00103DB8" w:rsidRPr="002B6139">
        <w:rPr>
          <w:rFonts w:asciiTheme="minorHAnsi" w:hAnsiTheme="minorHAnsi"/>
          <w:sz w:val="24"/>
          <w:szCs w:val="24"/>
        </w:rPr>
        <w:t>Tileman</w:t>
      </w:r>
      <w:proofErr w:type="spellEnd"/>
      <w:r w:rsidR="00103DB8" w:rsidRPr="002B6139">
        <w:rPr>
          <w:rFonts w:asciiTheme="minorHAnsi" w:hAnsiTheme="minorHAnsi"/>
          <w:sz w:val="24"/>
          <w:szCs w:val="24"/>
        </w:rPr>
        <w:t xml:space="preserve"> Limited 1973 NZCA)</w:t>
      </w:r>
    </w:p>
    <w:p w14:paraId="78ACEEFA" w14:textId="1136B7D3" w:rsidR="000C57AE" w:rsidRPr="002B6139" w:rsidRDefault="000C57AE" w:rsidP="000C57AE">
      <w:pPr>
        <w:pStyle w:val="ListParagraph"/>
        <w:numPr>
          <w:ilvl w:val="1"/>
          <w:numId w:val="12"/>
        </w:numPr>
        <w:spacing w:line="240" w:lineRule="auto"/>
        <w:rPr>
          <w:rFonts w:asciiTheme="minorHAnsi" w:hAnsiTheme="minorHAnsi"/>
          <w:sz w:val="24"/>
          <w:szCs w:val="24"/>
        </w:rPr>
      </w:pPr>
      <w:r w:rsidRPr="002B6139">
        <w:rPr>
          <w:rFonts w:asciiTheme="minorHAnsi" w:hAnsiTheme="minorHAnsi"/>
          <w:sz w:val="24"/>
          <w:szCs w:val="24"/>
        </w:rPr>
        <w:t>The thin skull rule remains good law. In cases of damage by physical injury to the person, it applies both where the consequences flow from a pre-existing susceptibility or sensitivity and where the consequences flow from a new risk or susceptibility created by the initial injury.</w:t>
      </w:r>
      <w:r w:rsidR="00103DB8" w:rsidRPr="002B6139">
        <w:rPr>
          <w:rFonts w:asciiTheme="minorHAnsi" w:hAnsiTheme="minorHAnsi"/>
          <w:sz w:val="24"/>
          <w:szCs w:val="24"/>
        </w:rPr>
        <w:t xml:space="preserve"> (Stephenson 1973 NZCA)</w:t>
      </w:r>
    </w:p>
    <w:p w14:paraId="1D58F09F" w14:textId="759E11CA" w:rsidR="000C57AE" w:rsidRPr="002B6139" w:rsidRDefault="000C57AE" w:rsidP="000C57AE">
      <w:pPr>
        <w:pStyle w:val="ListParagraph"/>
        <w:numPr>
          <w:ilvl w:val="1"/>
          <w:numId w:val="12"/>
        </w:numPr>
        <w:spacing w:line="240" w:lineRule="auto"/>
        <w:rPr>
          <w:rFonts w:asciiTheme="minorHAnsi" w:hAnsiTheme="minorHAnsi"/>
          <w:sz w:val="24"/>
          <w:szCs w:val="24"/>
        </w:rPr>
      </w:pPr>
      <w:r w:rsidRPr="002B6139">
        <w:rPr>
          <w:rFonts w:asciiTheme="minorHAnsi" w:hAnsiTheme="minorHAnsi"/>
          <w:sz w:val="24"/>
          <w:szCs w:val="24"/>
        </w:rPr>
        <w:t>In cases of damage by physical injury to the person, the question of foreseeability is limited to the initial injury. The trier of fact must determine whether that injury is of a type reasonably foreseeable to the defendant as a real risk.</w:t>
      </w:r>
      <w:r w:rsidR="00103DB8" w:rsidRPr="002B6139">
        <w:rPr>
          <w:rFonts w:asciiTheme="minorHAnsi" w:hAnsiTheme="minorHAnsi"/>
          <w:sz w:val="24"/>
          <w:szCs w:val="24"/>
        </w:rPr>
        <w:t xml:space="preserve"> (Stephenson 1973 NZCA)</w:t>
      </w:r>
    </w:p>
    <w:p w14:paraId="3D666F85" w14:textId="33C788F1" w:rsidR="000C57AE" w:rsidRPr="002B6139" w:rsidRDefault="000C57AE" w:rsidP="000C57AE">
      <w:pPr>
        <w:pStyle w:val="ListParagraph"/>
        <w:numPr>
          <w:ilvl w:val="1"/>
          <w:numId w:val="12"/>
        </w:numPr>
        <w:rPr>
          <w:rFonts w:asciiTheme="minorHAnsi" w:hAnsiTheme="minorHAnsi"/>
          <w:sz w:val="24"/>
          <w:szCs w:val="24"/>
        </w:rPr>
      </w:pPr>
      <w:r w:rsidRPr="002B6139">
        <w:rPr>
          <w:rFonts w:asciiTheme="minorHAnsi" w:hAnsiTheme="minorHAnsi"/>
          <w:sz w:val="24"/>
          <w:szCs w:val="24"/>
        </w:rPr>
        <w:t>If the plaintiff establishes that the initial injury was of a type reasonably foreseeable to the defendant, then the remoteness test for the ultimate injury is simply whether there is a direct causal chain flowing uninterrupted from the negligent act to that ultimate injury.</w:t>
      </w:r>
      <w:r w:rsidR="00103DB8" w:rsidRPr="002B6139">
        <w:rPr>
          <w:rFonts w:asciiTheme="minorHAnsi" w:hAnsiTheme="minorHAnsi"/>
          <w:sz w:val="24"/>
          <w:szCs w:val="24"/>
        </w:rPr>
        <w:t xml:space="preserve"> (Stephenson 1973 NZCA)</w:t>
      </w:r>
    </w:p>
    <w:p w14:paraId="27A22B1A" w14:textId="3BBD3079" w:rsidR="00103DB8" w:rsidRPr="002B6139" w:rsidRDefault="00103DB8" w:rsidP="00103DB8">
      <w:pPr>
        <w:pStyle w:val="ListParagraph"/>
        <w:numPr>
          <w:ilvl w:val="0"/>
          <w:numId w:val="12"/>
        </w:numPr>
        <w:rPr>
          <w:rFonts w:asciiTheme="minorHAnsi" w:hAnsiTheme="minorHAnsi"/>
          <w:sz w:val="24"/>
          <w:szCs w:val="24"/>
        </w:rPr>
      </w:pPr>
      <w:r w:rsidRPr="002B6139">
        <w:rPr>
          <w:rFonts w:asciiTheme="minorHAnsi" w:hAnsiTheme="minorHAnsi"/>
          <w:sz w:val="24"/>
          <w:szCs w:val="24"/>
        </w:rPr>
        <w:t>The thin skull rule includes the injured party’s psychological characteristics. Therefore, if the negligent act is a direct cause of a further physical injury induced by the operation of the initial injury on the psychology of the injured party, then the negligent party is liable for that further injury. (</w:t>
      </w:r>
      <w:proofErr w:type="spellStart"/>
      <w:r w:rsidRPr="002B6139">
        <w:rPr>
          <w:rFonts w:asciiTheme="minorHAnsi" w:hAnsiTheme="minorHAnsi"/>
          <w:sz w:val="24"/>
          <w:szCs w:val="24"/>
        </w:rPr>
        <w:t>Cotic</w:t>
      </w:r>
      <w:proofErr w:type="spellEnd"/>
      <w:r w:rsidRPr="002B6139">
        <w:rPr>
          <w:rFonts w:asciiTheme="minorHAnsi" w:hAnsiTheme="minorHAnsi"/>
          <w:sz w:val="24"/>
          <w:szCs w:val="24"/>
        </w:rPr>
        <w:t xml:space="preserve"> v Gray 1981 ONCA)</w:t>
      </w:r>
    </w:p>
    <w:p w14:paraId="26A65C46" w14:textId="2F5DBD2E" w:rsidR="001229B6" w:rsidRDefault="001229B6" w:rsidP="001229B6">
      <w:pPr>
        <w:pStyle w:val="Heading1"/>
      </w:pPr>
      <w:r w:rsidRPr="002B6139">
        <w:t>Four: Factual Causation</w:t>
      </w:r>
    </w:p>
    <w:p w14:paraId="57DE0D49" w14:textId="061A4A78" w:rsidR="00652778" w:rsidRDefault="00652778" w:rsidP="00652778">
      <w:pPr>
        <w:pStyle w:val="ListParagraph"/>
        <w:numPr>
          <w:ilvl w:val="0"/>
          <w:numId w:val="31"/>
        </w:numPr>
        <w:rPr>
          <w:sz w:val="24"/>
          <w:szCs w:val="24"/>
        </w:rPr>
      </w:pPr>
      <w:r w:rsidRPr="00652778">
        <w:rPr>
          <w:b/>
          <w:bCs/>
          <w:sz w:val="24"/>
          <w:szCs w:val="24"/>
        </w:rPr>
        <w:t>Legal Burden of Proof</w:t>
      </w:r>
      <w:r>
        <w:rPr>
          <w:sz w:val="24"/>
          <w:szCs w:val="24"/>
        </w:rPr>
        <w:t xml:space="preserve">: </w:t>
      </w:r>
      <w:r w:rsidRPr="002B6139">
        <w:rPr>
          <w:sz w:val="24"/>
          <w:szCs w:val="24"/>
        </w:rPr>
        <w:t xml:space="preserve">“Factual causation is established where the plaintiff proves, on a balance of probabilities, that the defendant caused or materially contributed to their injury.” </w:t>
      </w:r>
      <w:r w:rsidR="00B9154E">
        <w:rPr>
          <w:sz w:val="24"/>
          <w:szCs w:val="24"/>
        </w:rPr>
        <w:t xml:space="preserve">In other words, </w:t>
      </w:r>
      <w:r w:rsidR="00B9154E" w:rsidRPr="00B9154E">
        <w:rPr>
          <w:sz w:val="24"/>
          <w:szCs w:val="24"/>
        </w:rPr>
        <w:t xml:space="preserve">a plaintiff </w:t>
      </w:r>
      <w:r w:rsidR="00014213">
        <w:rPr>
          <w:sz w:val="24"/>
          <w:szCs w:val="24"/>
        </w:rPr>
        <w:t>must prove, on a balance of probabilities, that “</w:t>
      </w:r>
      <w:r w:rsidR="00B9154E" w:rsidRPr="00B9154E">
        <w:rPr>
          <w:sz w:val="24"/>
          <w:szCs w:val="24"/>
        </w:rPr>
        <w:t>she would not have suffered the loss “but for” the negligent act or acts of the defendant.” (Clements</w:t>
      </w:r>
      <w:r w:rsidR="00B9154E">
        <w:rPr>
          <w:sz w:val="24"/>
          <w:szCs w:val="24"/>
        </w:rPr>
        <w:t xml:space="preserve">, </w:t>
      </w:r>
      <w:r w:rsidRPr="002B6139">
        <w:rPr>
          <w:sz w:val="24"/>
          <w:szCs w:val="24"/>
        </w:rPr>
        <w:t>Athey</w:t>
      </w:r>
      <w:r w:rsidR="00D03810">
        <w:rPr>
          <w:sz w:val="24"/>
          <w:szCs w:val="24"/>
        </w:rPr>
        <w:t>, Snell</w:t>
      </w:r>
      <w:r w:rsidRPr="002B6139">
        <w:rPr>
          <w:sz w:val="24"/>
          <w:szCs w:val="24"/>
        </w:rPr>
        <w:t>)</w:t>
      </w:r>
    </w:p>
    <w:p w14:paraId="3574DC1C" w14:textId="3CCC742F" w:rsidR="004D0085" w:rsidRDefault="004D0085" w:rsidP="004D0085">
      <w:pPr>
        <w:pStyle w:val="ListParagraph"/>
        <w:numPr>
          <w:ilvl w:val="1"/>
          <w:numId w:val="31"/>
        </w:numPr>
        <w:rPr>
          <w:sz w:val="24"/>
          <w:szCs w:val="24"/>
        </w:rPr>
      </w:pPr>
    </w:p>
    <w:p w14:paraId="67446C90" w14:textId="1B86BBEE" w:rsidR="004F5936" w:rsidRDefault="004F5936" w:rsidP="004F5936">
      <w:pPr>
        <w:pStyle w:val="ListParagraph"/>
        <w:numPr>
          <w:ilvl w:val="1"/>
          <w:numId w:val="31"/>
        </w:numPr>
        <w:rPr>
          <w:sz w:val="24"/>
          <w:szCs w:val="24"/>
        </w:rPr>
      </w:pPr>
      <w:r w:rsidRPr="004F5936">
        <w:rPr>
          <w:b/>
          <w:bCs/>
          <w:sz w:val="24"/>
          <w:szCs w:val="24"/>
        </w:rPr>
        <w:t>Scientific proof of causation is not required</w:t>
      </w:r>
      <w:r>
        <w:rPr>
          <w:sz w:val="24"/>
          <w:szCs w:val="24"/>
        </w:rPr>
        <w:t>. (Clements, Snell, Athey)</w:t>
      </w:r>
    </w:p>
    <w:p w14:paraId="5C889E35" w14:textId="3E92D2D4" w:rsidR="004F5936" w:rsidRDefault="004F5936" w:rsidP="004F5936">
      <w:pPr>
        <w:pStyle w:val="ListParagraph"/>
        <w:numPr>
          <w:ilvl w:val="2"/>
          <w:numId w:val="31"/>
        </w:numPr>
        <w:rPr>
          <w:sz w:val="24"/>
          <w:szCs w:val="24"/>
        </w:rPr>
      </w:pPr>
      <w:r w:rsidRPr="004F5936">
        <w:rPr>
          <w:sz w:val="24"/>
          <w:szCs w:val="24"/>
        </w:rPr>
        <w:t>The scientific standard of proof is much higher than a balance of probabilities.</w:t>
      </w:r>
      <w:r>
        <w:rPr>
          <w:sz w:val="24"/>
          <w:szCs w:val="24"/>
        </w:rPr>
        <w:t xml:space="preserve"> </w:t>
      </w:r>
      <w:r w:rsidRPr="004F5936">
        <w:rPr>
          <w:sz w:val="24"/>
          <w:szCs w:val="24"/>
        </w:rPr>
        <w:t>Illustrates the problem of relying too much on science in cases of factual uncertainty.  (Blackstock v Foster 1958 Aus. SC)</w:t>
      </w:r>
    </w:p>
    <w:p w14:paraId="48B75BC7" w14:textId="5EF39278" w:rsidR="0066635A" w:rsidRDefault="0066635A" w:rsidP="0066635A">
      <w:pPr>
        <w:pStyle w:val="ListParagraph"/>
        <w:numPr>
          <w:ilvl w:val="1"/>
          <w:numId w:val="31"/>
        </w:numPr>
        <w:rPr>
          <w:sz w:val="24"/>
          <w:szCs w:val="24"/>
        </w:rPr>
      </w:pPr>
      <w:r>
        <w:rPr>
          <w:sz w:val="24"/>
          <w:szCs w:val="24"/>
        </w:rPr>
        <w:t xml:space="preserve">The judge </w:t>
      </w:r>
      <w:r w:rsidRPr="00154BA1">
        <w:rPr>
          <w:b/>
          <w:bCs/>
          <w:sz w:val="24"/>
          <w:szCs w:val="24"/>
        </w:rPr>
        <w:t>must take a robust, pragmatic, common-sense approach</w:t>
      </w:r>
      <w:r w:rsidRPr="0066635A">
        <w:rPr>
          <w:sz w:val="24"/>
          <w:szCs w:val="24"/>
        </w:rPr>
        <w:t xml:space="preserve"> to </w:t>
      </w:r>
      <w:r w:rsidR="003519A0">
        <w:rPr>
          <w:sz w:val="24"/>
          <w:szCs w:val="24"/>
        </w:rPr>
        <w:t>the test for factual causation</w:t>
      </w:r>
      <w:r>
        <w:rPr>
          <w:sz w:val="24"/>
          <w:szCs w:val="24"/>
        </w:rPr>
        <w:t>. (Clements, Snell, Athey)</w:t>
      </w:r>
    </w:p>
    <w:p w14:paraId="594BDD52" w14:textId="77777777" w:rsidR="003519A0" w:rsidRPr="003519A0" w:rsidRDefault="003519A0" w:rsidP="003519A0">
      <w:pPr>
        <w:pStyle w:val="ListParagraph"/>
        <w:numPr>
          <w:ilvl w:val="2"/>
          <w:numId w:val="31"/>
        </w:numPr>
        <w:rPr>
          <w:sz w:val="24"/>
          <w:szCs w:val="24"/>
        </w:rPr>
      </w:pPr>
      <w:r w:rsidRPr="003519A0">
        <w:rPr>
          <w:b/>
          <w:bCs/>
          <w:sz w:val="24"/>
          <w:szCs w:val="24"/>
        </w:rPr>
        <w:t>Taking a robust, pragmatic, common-sense approach</w:t>
      </w:r>
      <w:r w:rsidRPr="003519A0">
        <w:rPr>
          <w:sz w:val="24"/>
          <w:szCs w:val="24"/>
        </w:rPr>
        <w:t xml:space="preserve"> factual causation means applying </w:t>
      </w:r>
      <w:r w:rsidRPr="003519A0">
        <w:rPr>
          <w:b/>
          <w:bCs/>
          <w:sz w:val="24"/>
          <w:szCs w:val="24"/>
        </w:rPr>
        <w:t>Lord Mansfield’s Maxim</w:t>
      </w:r>
      <w:r w:rsidRPr="003519A0">
        <w:rPr>
          <w:sz w:val="24"/>
          <w:szCs w:val="24"/>
        </w:rPr>
        <w:t xml:space="preserve"> that </w:t>
      </w:r>
      <w:r w:rsidRPr="003519A0">
        <w:rPr>
          <w:sz w:val="24"/>
          <w:szCs w:val="24"/>
          <w:lang w:val="en-US"/>
        </w:rPr>
        <w:t>“All evidence is to be weighed according to the proof which it was in the power of one side to have produced, and in the power of the other to have contradicted.” (Snell)</w:t>
      </w:r>
    </w:p>
    <w:p w14:paraId="2273F7FF" w14:textId="1D9B783E" w:rsidR="001C5E32" w:rsidRPr="001C5E32" w:rsidRDefault="001C5E32" w:rsidP="001C5E32">
      <w:pPr>
        <w:pStyle w:val="ListParagraph"/>
        <w:numPr>
          <w:ilvl w:val="3"/>
          <w:numId w:val="31"/>
        </w:numPr>
        <w:rPr>
          <w:sz w:val="24"/>
          <w:szCs w:val="24"/>
        </w:rPr>
      </w:pPr>
      <w:r w:rsidRPr="001C5E32">
        <w:rPr>
          <w:sz w:val="24"/>
          <w:szCs w:val="24"/>
          <w:lang w:val="en-US"/>
        </w:rPr>
        <w:t>A little evidence can go a long way in cases of evidential disparity.</w:t>
      </w:r>
    </w:p>
    <w:p w14:paraId="0455A2E6" w14:textId="1CDCFAF7" w:rsidR="001C5E32" w:rsidRPr="001C5E32" w:rsidRDefault="004D3443" w:rsidP="001C5E32">
      <w:pPr>
        <w:pStyle w:val="ListParagraph"/>
        <w:numPr>
          <w:ilvl w:val="2"/>
          <w:numId w:val="31"/>
        </w:numPr>
        <w:rPr>
          <w:sz w:val="24"/>
          <w:szCs w:val="24"/>
        </w:rPr>
      </w:pPr>
      <w:r>
        <w:rPr>
          <w:b/>
          <w:bCs/>
          <w:sz w:val="24"/>
          <w:szCs w:val="24"/>
        </w:rPr>
        <w:lastRenderedPageBreak/>
        <w:t>Example</w:t>
      </w:r>
      <w:r w:rsidR="001C5E32">
        <w:rPr>
          <w:sz w:val="24"/>
          <w:szCs w:val="24"/>
        </w:rPr>
        <w:t xml:space="preserve">: </w:t>
      </w:r>
      <w:r w:rsidR="001C5E32" w:rsidRPr="001C5E32">
        <w:rPr>
          <w:sz w:val="24"/>
          <w:szCs w:val="24"/>
        </w:rPr>
        <w:t>Where the defendant is in a better position to explain the facts, then a tactical shift in the burden of proof occurs. If the defendant says nothing, he runs the risk of adverse inference being drawn.</w:t>
      </w:r>
      <w:r w:rsidR="001C5E32">
        <w:rPr>
          <w:sz w:val="24"/>
          <w:szCs w:val="24"/>
        </w:rPr>
        <w:t xml:space="preserve"> (Snell)</w:t>
      </w:r>
    </w:p>
    <w:p w14:paraId="267A1A70" w14:textId="44DD1357" w:rsidR="00D945EE" w:rsidRDefault="00D945EE" w:rsidP="00D945EE">
      <w:pPr>
        <w:pStyle w:val="ListParagraph"/>
        <w:numPr>
          <w:ilvl w:val="0"/>
          <w:numId w:val="31"/>
        </w:numPr>
        <w:rPr>
          <w:sz w:val="24"/>
          <w:szCs w:val="24"/>
        </w:rPr>
      </w:pPr>
      <w:r w:rsidRPr="00490F43">
        <w:rPr>
          <w:b/>
          <w:bCs/>
          <w:sz w:val="24"/>
          <w:szCs w:val="24"/>
        </w:rPr>
        <w:t>Preliminary Question</w:t>
      </w:r>
      <w:r>
        <w:rPr>
          <w:sz w:val="24"/>
          <w:szCs w:val="24"/>
        </w:rPr>
        <w:t xml:space="preserve">: </w:t>
      </w:r>
      <w:r w:rsidR="005F0508">
        <w:rPr>
          <w:sz w:val="24"/>
          <w:szCs w:val="24"/>
        </w:rPr>
        <w:t xml:space="preserve">Are the injuries </w:t>
      </w:r>
      <w:r w:rsidR="00490F43">
        <w:rPr>
          <w:sz w:val="24"/>
          <w:szCs w:val="24"/>
        </w:rPr>
        <w:t xml:space="preserve">distinct and </w:t>
      </w:r>
      <w:r w:rsidR="005F0508">
        <w:rPr>
          <w:sz w:val="24"/>
          <w:szCs w:val="24"/>
        </w:rPr>
        <w:t>divisible?</w:t>
      </w:r>
    </w:p>
    <w:p w14:paraId="602C331F" w14:textId="5DD39066" w:rsidR="00D945EE" w:rsidRPr="005F0508" w:rsidRDefault="005F0508" w:rsidP="005F0508">
      <w:pPr>
        <w:pStyle w:val="ListParagraph"/>
        <w:numPr>
          <w:ilvl w:val="1"/>
          <w:numId w:val="31"/>
        </w:numPr>
        <w:spacing w:line="240" w:lineRule="auto"/>
        <w:rPr>
          <w:sz w:val="24"/>
          <w:szCs w:val="24"/>
        </w:rPr>
      </w:pPr>
      <w:r w:rsidRPr="002B6139">
        <w:rPr>
          <w:sz w:val="24"/>
          <w:szCs w:val="24"/>
        </w:rPr>
        <w:t>Separation of distinct and divisible injuries is not truly apportionment; it is simply making each defendant liable only for the injury he or she has caused, according to the usual rule. (Athey 1996 SCC)</w:t>
      </w:r>
    </w:p>
    <w:p w14:paraId="6BC5A67A" w14:textId="5B80F25B" w:rsidR="00652778" w:rsidRDefault="002871A5" w:rsidP="00652778">
      <w:pPr>
        <w:pStyle w:val="Heading2"/>
      </w:pPr>
      <w:r>
        <w:t xml:space="preserve">Orthodox/Strict </w:t>
      </w:r>
      <w:r w:rsidR="00652778">
        <w:t>But-For Causation</w:t>
      </w:r>
    </w:p>
    <w:p w14:paraId="0D5460CD" w14:textId="162D45E1" w:rsidR="00652778" w:rsidRDefault="00C534A1" w:rsidP="00652778">
      <w:pPr>
        <w:pStyle w:val="ListParagraph"/>
        <w:numPr>
          <w:ilvl w:val="0"/>
          <w:numId w:val="18"/>
        </w:numPr>
        <w:rPr>
          <w:sz w:val="24"/>
          <w:szCs w:val="24"/>
        </w:rPr>
      </w:pPr>
      <w:r>
        <w:rPr>
          <w:b/>
          <w:bCs/>
          <w:sz w:val="24"/>
          <w:szCs w:val="24"/>
        </w:rPr>
        <w:t xml:space="preserve">Orthodox </w:t>
      </w:r>
      <w:r w:rsidR="00652778" w:rsidRPr="00FA3A58">
        <w:rPr>
          <w:b/>
          <w:bCs/>
          <w:sz w:val="24"/>
          <w:szCs w:val="24"/>
        </w:rPr>
        <w:t>But-for causation test</w:t>
      </w:r>
      <w:r w:rsidR="00652778" w:rsidRPr="002B6139">
        <w:rPr>
          <w:sz w:val="24"/>
          <w:szCs w:val="24"/>
        </w:rPr>
        <w:t>: Something is a factual cause of a given effect if that effect would not have occurred but for the occurrence of that cause. (Barnett v Chelsea Hospital 1968 UK)</w:t>
      </w:r>
    </w:p>
    <w:p w14:paraId="20FF3894" w14:textId="443DAFE9" w:rsidR="002871A5" w:rsidRPr="002B6139" w:rsidRDefault="002871A5" w:rsidP="00652778">
      <w:pPr>
        <w:pStyle w:val="ListParagraph"/>
        <w:numPr>
          <w:ilvl w:val="0"/>
          <w:numId w:val="18"/>
        </w:numPr>
        <w:rPr>
          <w:sz w:val="24"/>
          <w:szCs w:val="24"/>
        </w:rPr>
      </w:pPr>
      <w:r w:rsidRPr="002871A5">
        <w:rPr>
          <w:b/>
          <w:bCs/>
          <w:sz w:val="24"/>
          <w:szCs w:val="24"/>
        </w:rPr>
        <w:t>Minimum Threshold for But-For Cause</w:t>
      </w:r>
      <w:r w:rsidRPr="002871A5">
        <w:rPr>
          <w:sz w:val="24"/>
          <w:szCs w:val="24"/>
        </w:rPr>
        <w:t>: A but-for cause need not be the sole cause of the injury, but it must at minimum be a necessary cause of the injury. (Athey 1996 SCC)</w:t>
      </w:r>
    </w:p>
    <w:p w14:paraId="791258C2" w14:textId="11752DE3" w:rsidR="00652778" w:rsidRPr="002B6139" w:rsidRDefault="00652778" w:rsidP="002871A5">
      <w:pPr>
        <w:pStyle w:val="ListParagraph"/>
        <w:numPr>
          <w:ilvl w:val="0"/>
          <w:numId w:val="18"/>
        </w:numPr>
        <w:rPr>
          <w:sz w:val="24"/>
          <w:szCs w:val="24"/>
        </w:rPr>
      </w:pPr>
      <w:r w:rsidRPr="002871A5">
        <w:rPr>
          <w:b/>
          <w:bCs/>
          <w:sz w:val="24"/>
          <w:szCs w:val="24"/>
        </w:rPr>
        <w:t>Problems with the</w:t>
      </w:r>
      <w:r w:rsidR="002871A5">
        <w:rPr>
          <w:b/>
          <w:bCs/>
          <w:sz w:val="24"/>
          <w:szCs w:val="24"/>
        </w:rPr>
        <w:t xml:space="preserve"> strict</w:t>
      </w:r>
      <w:r w:rsidRPr="002871A5">
        <w:rPr>
          <w:b/>
          <w:bCs/>
          <w:sz w:val="24"/>
          <w:szCs w:val="24"/>
        </w:rPr>
        <w:t xml:space="preserve"> but-for test</w:t>
      </w:r>
      <w:r w:rsidRPr="002B6139">
        <w:rPr>
          <w:sz w:val="24"/>
          <w:szCs w:val="24"/>
        </w:rPr>
        <w:t>:</w:t>
      </w:r>
    </w:p>
    <w:p w14:paraId="4FE404D5" w14:textId="77777777" w:rsidR="00652778" w:rsidRPr="002B6139" w:rsidRDefault="00652778" w:rsidP="00652778">
      <w:pPr>
        <w:pStyle w:val="ListParagraph"/>
        <w:numPr>
          <w:ilvl w:val="1"/>
          <w:numId w:val="18"/>
        </w:numPr>
        <w:spacing w:line="240" w:lineRule="auto"/>
        <w:rPr>
          <w:sz w:val="24"/>
          <w:szCs w:val="24"/>
        </w:rPr>
      </w:pPr>
      <w:r w:rsidRPr="002B6139">
        <w:rPr>
          <w:sz w:val="24"/>
          <w:szCs w:val="24"/>
        </w:rPr>
        <w:t>(1)</w:t>
      </w:r>
      <w:r w:rsidRPr="002B6139">
        <w:rPr>
          <w:kern w:val="0"/>
          <w:sz w:val="24"/>
          <w:szCs w:val="24"/>
          <w14:ligatures w14:val="none"/>
        </w:rPr>
        <w:t xml:space="preserve"> </w:t>
      </w:r>
      <w:r w:rsidRPr="002B6139">
        <w:rPr>
          <w:sz w:val="24"/>
          <w:szCs w:val="24"/>
        </w:rPr>
        <w:t>Pre-emptive causation – A shoots B just as B was about to drink a cup of poisoned tea.</w:t>
      </w:r>
    </w:p>
    <w:p w14:paraId="7C8886EE" w14:textId="1FA80BD5" w:rsidR="002871A5" w:rsidRDefault="00652778" w:rsidP="002871A5">
      <w:pPr>
        <w:pStyle w:val="ListParagraph"/>
        <w:numPr>
          <w:ilvl w:val="1"/>
          <w:numId w:val="18"/>
        </w:numPr>
        <w:spacing w:line="240" w:lineRule="auto"/>
        <w:rPr>
          <w:sz w:val="24"/>
          <w:szCs w:val="24"/>
        </w:rPr>
      </w:pPr>
      <w:r w:rsidRPr="002B6139">
        <w:rPr>
          <w:sz w:val="24"/>
          <w:szCs w:val="24"/>
        </w:rPr>
        <w:t>(2) Duplicative Causation: C starts a fire. D starts another fire. Each fire was big enough to destroy a house. The fires unite and then burn down your house.</w:t>
      </w:r>
    </w:p>
    <w:p w14:paraId="0A960ECB" w14:textId="77777777" w:rsidR="0014780B" w:rsidRDefault="0014780B" w:rsidP="0014780B">
      <w:pPr>
        <w:pStyle w:val="Heading2"/>
      </w:pPr>
      <w:r>
        <w:t>But-For Causation with Multiple Concurrent Causes</w:t>
      </w:r>
    </w:p>
    <w:p w14:paraId="39C22E8E" w14:textId="77777777" w:rsidR="0014780B" w:rsidRPr="002B6139" w:rsidRDefault="0014780B" w:rsidP="0014780B">
      <w:pPr>
        <w:pStyle w:val="ListParagraph"/>
        <w:numPr>
          <w:ilvl w:val="0"/>
          <w:numId w:val="18"/>
        </w:numPr>
        <w:spacing w:line="240" w:lineRule="auto"/>
        <w:rPr>
          <w:sz w:val="24"/>
          <w:szCs w:val="24"/>
        </w:rPr>
      </w:pPr>
      <w:r w:rsidRPr="00F52F1B">
        <w:rPr>
          <w:b/>
          <w:bCs/>
          <w:sz w:val="24"/>
          <w:szCs w:val="24"/>
        </w:rPr>
        <w:t>Where both causes are tortious</w:t>
      </w:r>
      <w:r w:rsidRPr="002B6139">
        <w:rPr>
          <w:sz w:val="24"/>
          <w:szCs w:val="24"/>
        </w:rPr>
        <w:t>:</w:t>
      </w:r>
    </w:p>
    <w:p w14:paraId="6980C8E3" w14:textId="77777777" w:rsidR="0014780B" w:rsidRDefault="0014780B" w:rsidP="0014780B">
      <w:pPr>
        <w:pStyle w:val="ListParagraph"/>
        <w:numPr>
          <w:ilvl w:val="1"/>
          <w:numId w:val="18"/>
        </w:numPr>
        <w:spacing w:line="240" w:lineRule="auto"/>
        <w:rPr>
          <w:sz w:val="24"/>
          <w:szCs w:val="24"/>
        </w:rPr>
      </w:pPr>
      <w:r w:rsidRPr="002B6139">
        <w:rPr>
          <w:sz w:val="24"/>
          <w:szCs w:val="24"/>
        </w:rPr>
        <w:t>If the acts of two separate tortfeasors, each being aware of what the other is doing, taken together create an actionable wrong, each is separately liable for the whole wrong. (Lambton v Mellish 1894 UK, see also Athey 1996 SCC)</w:t>
      </w:r>
    </w:p>
    <w:p w14:paraId="0CA79B5D" w14:textId="77777777" w:rsidR="0014780B" w:rsidRDefault="0014780B" w:rsidP="0014780B">
      <w:pPr>
        <w:pStyle w:val="ListParagraph"/>
        <w:numPr>
          <w:ilvl w:val="2"/>
          <w:numId w:val="18"/>
        </w:numPr>
        <w:spacing w:line="240" w:lineRule="auto"/>
        <w:rPr>
          <w:sz w:val="24"/>
          <w:szCs w:val="24"/>
        </w:rPr>
      </w:pPr>
      <w:r>
        <w:rPr>
          <w:sz w:val="24"/>
          <w:szCs w:val="24"/>
        </w:rPr>
        <w:t>Applies to material contribution to injury cases. (</w:t>
      </w:r>
      <w:r w:rsidRPr="00554538">
        <w:rPr>
          <w:sz w:val="24"/>
          <w:szCs w:val="24"/>
        </w:rPr>
        <w:t>Cory v Havener</w:t>
      </w:r>
      <w:r>
        <w:rPr>
          <w:sz w:val="24"/>
          <w:szCs w:val="24"/>
        </w:rPr>
        <w:t>, 1902 Mass. SJC)</w:t>
      </w:r>
    </w:p>
    <w:p w14:paraId="14FFEBAC" w14:textId="77777777" w:rsidR="0014780B" w:rsidRPr="00CD6AD9" w:rsidRDefault="0014780B" w:rsidP="0014780B">
      <w:pPr>
        <w:pStyle w:val="ListParagraph"/>
        <w:numPr>
          <w:ilvl w:val="0"/>
          <w:numId w:val="18"/>
        </w:numPr>
        <w:rPr>
          <w:sz w:val="24"/>
          <w:szCs w:val="24"/>
        </w:rPr>
      </w:pPr>
      <w:r w:rsidRPr="00CD6AD9">
        <w:rPr>
          <w:b/>
          <w:bCs/>
          <w:sz w:val="24"/>
          <w:szCs w:val="24"/>
        </w:rPr>
        <w:t>Where only one cause is tortious</w:t>
      </w:r>
      <w:r w:rsidRPr="00CD6AD9">
        <w:rPr>
          <w:sz w:val="24"/>
          <w:szCs w:val="24"/>
        </w:rPr>
        <w:t>:</w:t>
      </w:r>
    </w:p>
    <w:p w14:paraId="3900D165" w14:textId="77777777" w:rsidR="0014780B" w:rsidRDefault="0014780B" w:rsidP="0014780B">
      <w:pPr>
        <w:pStyle w:val="ListParagraph"/>
        <w:numPr>
          <w:ilvl w:val="1"/>
          <w:numId w:val="18"/>
        </w:numPr>
        <w:rPr>
          <w:sz w:val="24"/>
          <w:szCs w:val="24"/>
        </w:rPr>
      </w:pPr>
      <w:r w:rsidRPr="005E23E8">
        <w:rPr>
          <w:b/>
          <w:bCs/>
          <w:sz w:val="24"/>
          <w:szCs w:val="24"/>
        </w:rPr>
        <w:t>General Principle</w:t>
      </w:r>
      <w:r>
        <w:rPr>
          <w:sz w:val="24"/>
          <w:szCs w:val="24"/>
        </w:rPr>
        <w:t xml:space="preserve">: </w:t>
      </w:r>
      <w:r w:rsidRPr="00EC3212">
        <w:rPr>
          <w:sz w:val="24"/>
          <w:szCs w:val="24"/>
        </w:rPr>
        <w:t>Where the damage is caused by two separate, independent, and distinct causal agencies, one wrongful and the other innocent, then the defendant is not liable for the damage.</w:t>
      </w:r>
      <w:r>
        <w:rPr>
          <w:sz w:val="24"/>
          <w:szCs w:val="24"/>
        </w:rPr>
        <w:t xml:space="preserve"> </w:t>
      </w:r>
      <w:r w:rsidRPr="00CD6AD9">
        <w:rPr>
          <w:sz w:val="24"/>
          <w:szCs w:val="24"/>
        </w:rPr>
        <w:t>(Kingston v Chicago and N.W. Ry 1927 Wisc. SC)</w:t>
      </w:r>
    </w:p>
    <w:p w14:paraId="6F6DD419" w14:textId="77777777" w:rsidR="0014780B" w:rsidRDefault="0014780B" w:rsidP="0014780B">
      <w:pPr>
        <w:pStyle w:val="ListParagraph"/>
        <w:numPr>
          <w:ilvl w:val="2"/>
          <w:numId w:val="18"/>
        </w:numPr>
        <w:rPr>
          <w:sz w:val="24"/>
          <w:szCs w:val="24"/>
        </w:rPr>
      </w:pPr>
      <w:r>
        <w:rPr>
          <w:b/>
          <w:bCs/>
          <w:sz w:val="24"/>
          <w:szCs w:val="24"/>
        </w:rPr>
        <w:t>Scenario One:</w:t>
      </w:r>
      <w:r>
        <w:rPr>
          <w:sz w:val="24"/>
          <w:szCs w:val="24"/>
        </w:rPr>
        <w:t xml:space="preserve"> The non-tortious cause constitutes a supervening or overriding cause. </w:t>
      </w:r>
    </w:p>
    <w:p w14:paraId="636EBD10" w14:textId="77777777" w:rsidR="0014780B" w:rsidRDefault="0014780B" w:rsidP="0014780B">
      <w:pPr>
        <w:pStyle w:val="ListParagraph"/>
        <w:numPr>
          <w:ilvl w:val="3"/>
          <w:numId w:val="18"/>
        </w:numPr>
        <w:rPr>
          <w:sz w:val="24"/>
          <w:szCs w:val="24"/>
        </w:rPr>
      </w:pPr>
      <w:r>
        <w:rPr>
          <w:sz w:val="24"/>
          <w:szCs w:val="24"/>
        </w:rPr>
        <w:t>I.e., you throw a match into a pre-existing forest fire that then burns down the plaintiff’s house.</w:t>
      </w:r>
    </w:p>
    <w:p w14:paraId="2A5803ED" w14:textId="77777777" w:rsidR="0014780B" w:rsidRPr="00EC3212" w:rsidRDefault="0014780B" w:rsidP="0014780B">
      <w:pPr>
        <w:pStyle w:val="ListParagraph"/>
        <w:numPr>
          <w:ilvl w:val="2"/>
          <w:numId w:val="18"/>
        </w:numPr>
        <w:rPr>
          <w:sz w:val="24"/>
          <w:szCs w:val="24"/>
        </w:rPr>
      </w:pPr>
      <w:r w:rsidRPr="00896476">
        <w:rPr>
          <w:b/>
          <w:bCs/>
          <w:sz w:val="24"/>
          <w:szCs w:val="24"/>
        </w:rPr>
        <w:t>Scenario Two</w:t>
      </w:r>
      <w:r>
        <w:rPr>
          <w:sz w:val="24"/>
          <w:szCs w:val="24"/>
        </w:rPr>
        <w:t>: The non-tortious cause is relatively equal to the tortious cause.</w:t>
      </w:r>
    </w:p>
    <w:p w14:paraId="0D9B7145" w14:textId="77777777" w:rsidR="0014780B" w:rsidRPr="005E23E8" w:rsidRDefault="0014780B" w:rsidP="0014780B">
      <w:pPr>
        <w:pStyle w:val="ListParagraph"/>
        <w:numPr>
          <w:ilvl w:val="1"/>
          <w:numId w:val="18"/>
        </w:numPr>
        <w:rPr>
          <w:sz w:val="24"/>
          <w:szCs w:val="24"/>
        </w:rPr>
      </w:pPr>
      <w:r w:rsidRPr="005E23E8">
        <w:rPr>
          <w:b/>
          <w:bCs/>
          <w:sz w:val="24"/>
          <w:szCs w:val="24"/>
        </w:rPr>
        <w:lastRenderedPageBreak/>
        <w:t>Rebuttable presumption</w:t>
      </w:r>
      <w:r>
        <w:rPr>
          <w:sz w:val="24"/>
          <w:szCs w:val="24"/>
        </w:rPr>
        <w:t>: Where the defendant claims that this is the case, t</w:t>
      </w:r>
      <w:r w:rsidRPr="005E23E8">
        <w:rPr>
          <w:sz w:val="24"/>
          <w:szCs w:val="24"/>
        </w:rPr>
        <w:t>he court will assume that both causes were wrongful unless the defendant proves otherwise. The onus is on the defendant to prove that the second cause was not wrongful.</w:t>
      </w:r>
      <w:r>
        <w:rPr>
          <w:sz w:val="24"/>
          <w:szCs w:val="24"/>
        </w:rPr>
        <w:t xml:space="preserve"> (Kingston)</w:t>
      </w:r>
    </w:p>
    <w:p w14:paraId="1F551333" w14:textId="77777777" w:rsidR="0014780B" w:rsidRDefault="0014780B" w:rsidP="0014780B">
      <w:pPr>
        <w:pStyle w:val="ListParagraph"/>
        <w:numPr>
          <w:ilvl w:val="2"/>
          <w:numId w:val="18"/>
        </w:numPr>
        <w:rPr>
          <w:sz w:val="24"/>
          <w:szCs w:val="24"/>
        </w:rPr>
      </w:pPr>
      <w:r w:rsidRPr="00F52F1B">
        <w:rPr>
          <w:sz w:val="24"/>
          <w:szCs w:val="24"/>
        </w:rPr>
        <w:t>If the defendant fails to do so, then both causal agencies will be deemed wrongful and thus both will be held separately liable for the whole injury per Cory v Havener.</w:t>
      </w:r>
      <w:r>
        <w:rPr>
          <w:sz w:val="24"/>
          <w:szCs w:val="24"/>
        </w:rPr>
        <w:t xml:space="preserve"> (Kingston)</w:t>
      </w:r>
    </w:p>
    <w:p w14:paraId="1DCE48AC" w14:textId="77777777" w:rsidR="0014780B" w:rsidRDefault="0014780B" w:rsidP="0014780B">
      <w:pPr>
        <w:pStyle w:val="ListParagraph"/>
        <w:numPr>
          <w:ilvl w:val="2"/>
          <w:numId w:val="18"/>
        </w:numPr>
        <w:rPr>
          <w:sz w:val="24"/>
          <w:szCs w:val="24"/>
        </w:rPr>
      </w:pPr>
      <w:r>
        <w:rPr>
          <w:sz w:val="24"/>
          <w:szCs w:val="24"/>
        </w:rPr>
        <w:t>If the defendant succeeds, then the general principle above applies. (Kingston)</w:t>
      </w:r>
    </w:p>
    <w:p w14:paraId="0DC6AA5B" w14:textId="77777777" w:rsidR="0014780B" w:rsidRDefault="0014780B" w:rsidP="0014780B">
      <w:pPr>
        <w:pStyle w:val="Heading2"/>
      </w:pPr>
      <w:r>
        <w:t>But-For Causation with Sequential Causes</w:t>
      </w:r>
    </w:p>
    <w:p w14:paraId="19821D8F" w14:textId="77777777" w:rsidR="0014780B" w:rsidRPr="00206BAD" w:rsidRDefault="0014780B" w:rsidP="0014780B">
      <w:pPr>
        <w:pStyle w:val="ListParagraph"/>
        <w:numPr>
          <w:ilvl w:val="0"/>
          <w:numId w:val="32"/>
        </w:numPr>
        <w:rPr>
          <w:sz w:val="24"/>
          <w:szCs w:val="24"/>
        </w:rPr>
      </w:pPr>
      <w:r w:rsidRPr="00206BAD">
        <w:rPr>
          <w:b/>
          <w:bCs/>
          <w:sz w:val="24"/>
          <w:szCs w:val="24"/>
        </w:rPr>
        <w:t>General Rule</w:t>
      </w:r>
      <w:r w:rsidRPr="00206BAD">
        <w:rPr>
          <w:sz w:val="24"/>
          <w:szCs w:val="24"/>
        </w:rPr>
        <w:t>: Apportionment between subsequent tortious causes is allowed by general principles of tort law and expressly allowed by provincial negligence statutes. (Athey 1996 SCCC, see Ontario Negligence Act)</w:t>
      </w:r>
    </w:p>
    <w:p w14:paraId="2FB4A8C7" w14:textId="77777777" w:rsidR="0014780B" w:rsidRPr="00206BAD" w:rsidRDefault="0014780B" w:rsidP="0014780B">
      <w:pPr>
        <w:pStyle w:val="ListParagraph"/>
        <w:numPr>
          <w:ilvl w:val="1"/>
          <w:numId w:val="32"/>
        </w:numPr>
        <w:spacing w:line="240" w:lineRule="auto"/>
        <w:rPr>
          <w:sz w:val="24"/>
          <w:szCs w:val="24"/>
        </w:rPr>
      </w:pPr>
      <w:r w:rsidRPr="00206BAD">
        <w:rPr>
          <w:b/>
          <w:bCs/>
          <w:sz w:val="24"/>
          <w:szCs w:val="24"/>
        </w:rPr>
        <w:t>Exception</w:t>
      </w:r>
      <w:r w:rsidRPr="00206BAD">
        <w:rPr>
          <w:sz w:val="24"/>
          <w:szCs w:val="24"/>
        </w:rPr>
        <w:t>: Where a tortious act prevents the commission of a subsequent tortious act which would have resulted in the same injury, that hypothetical subsequent tortious act does not remove liability from the initial tortfeasor. (Wright v Cambridge Medical Group 2012 UKCA)</w:t>
      </w:r>
    </w:p>
    <w:p w14:paraId="40BBAC1D" w14:textId="77777777" w:rsidR="0014780B" w:rsidRPr="00206BAD" w:rsidRDefault="0014780B" w:rsidP="0014780B">
      <w:pPr>
        <w:pStyle w:val="ListParagraph"/>
        <w:numPr>
          <w:ilvl w:val="2"/>
          <w:numId w:val="32"/>
        </w:numPr>
        <w:spacing w:line="240" w:lineRule="auto"/>
        <w:rPr>
          <w:sz w:val="24"/>
          <w:szCs w:val="24"/>
        </w:rPr>
      </w:pPr>
      <w:r w:rsidRPr="00206BAD">
        <w:rPr>
          <w:sz w:val="24"/>
          <w:szCs w:val="24"/>
        </w:rPr>
        <w:t>Justified by either (1) cannot rely on own wrong or (2) initial wrong deprived the plaintiff of a cause of action in negligence against the subsequent hypothetically negligent party. I like (1) better.</w:t>
      </w:r>
    </w:p>
    <w:p w14:paraId="29E37EB5" w14:textId="77777777" w:rsidR="00964110" w:rsidRPr="00964110" w:rsidRDefault="00C51C28" w:rsidP="0014780B">
      <w:pPr>
        <w:pStyle w:val="ListParagraph"/>
        <w:numPr>
          <w:ilvl w:val="0"/>
          <w:numId w:val="32"/>
        </w:numPr>
        <w:rPr>
          <w:sz w:val="24"/>
          <w:szCs w:val="24"/>
        </w:rPr>
      </w:pPr>
      <w:r>
        <w:rPr>
          <w:b/>
          <w:bCs/>
          <w:sz w:val="24"/>
          <w:szCs w:val="24"/>
        </w:rPr>
        <w:t>Seq</w:t>
      </w:r>
      <w:r w:rsidR="00964110">
        <w:rPr>
          <w:b/>
          <w:bCs/>
          <w:sz w:val="24"/>
          <w:szCs w:val="24"/>
        </w:rPr>
        <w:t>uential Causation Rules for Property Damage Cases</w:t>
      </w:r>
      <w:r w:rsidR="0014780B" w:rsidRPr="00206BAD">
        <w:rPr>
          <w:b/>
          <w:bCs/>
          <w:sz w:val="24"/>
          <w:szCs w:val="24"/>
        </w:rPr>
        <w:t>:</w:t>
      </w:r>
    </w:p>
    <w:p w14:paraId="3521D345" w14:textId="3D7E7A90" w:rsidR="0014780B" w:rsidRPr="00964110" w:rsidRDefault="0014780B" w:rsidP="00964110">
      <w:pPr>
        <w:pStyle w:val="ListParagraph"/>
        <w:numPr>
          <w:ilvl w:val="1"/>
          <w:numId w:val="32"/>
        </w:numPr>
        <w:rPr>
          <w:sz w:val="24"/>
          <w:szCs w:val="24"/>
        </w:rPr>
      </w:pPr>
      <w:r w:rsidRPr="00206BAD">
        <w:rPr>
          <w:b/>
          <w:bCs/>
          <w:sz w:val="24"/>
          <w:szCs w:val="24"/>
        </w:rPr>
        <w:t xml:space="preserve">First-in-time </w:t>
      </w:r>
      <w:r w:rsidRPr="00964110">
        <w:rPr>
          <w:b/>
          <w:bCs/>
          <w:sz w:val="24"/>
          <w:szCs w:val="24"/>
        </w:rPr>
        <w:t>Rule</w:t>
      </w:r>
      <w:r w:rsidRPr="00964110">
        <w:rPr>
          <w:sz w:val="24"/>
          <w:szCs w:val="24"/>
        </w:rPr>
        <w:t>: No apportionment of damages between the initial tortious cause and subsequent non-tortious causes. (Sunrise Co v Lake Winnipeg (The) 1991 SCC)</w:t>
      </w:r>
    </w:p>
    <w:p w14:paraId="6DB2CAB7" w14:textId="77777777" w:rsidR="0014780B" w:rsidRPr="00206BAD" w:rsidRDefault="0014780B" w:rsidP="0014780B">
      <w:pPr>
        <w:pStyle w:val="ListParagraph"/>
        <w:numPr>
          <w:ilvl w:val="1"/>
          <w:numId w:val="32"/>
        </w:numPr>
        <w:rPr>
          <w:sz w:val="24"/>
          <w:szCs w:val="24"/>
        </w:rPr>
      </w:pPr>
      <w:r w:rsidRPr="00206BAD">
        <w:rPr>
          <w:b/>
          <w:bCs/>
          <w:sz w:val="24"/>
          <w:szCs w:val="24"/>
        </w:rPr>
        <w:t>Context</w:t>
      </w:r>
      <w:r w:rsidRPr="00206BAD">
        <w:rPr>
          <w:sz w:val="24"/>
          <w:szCs w:val="24"/>
        </w:rPr>
        <w:t>: “There is no causal link between the second incident and the loss of profit suffered by the plaintiff, such damage was merely coincidental since the ship already needed 27 days of repairs. Consequently, the defendant is liable for the lost profit caused by all 27 days of repairs.”</w:t>
      </w:r>
    </w:p>
    <w:p w14:paraId="7F17C7B6" w14:textId="77777777" w:rsidR="0014780B" w:rsidRPr="00206BAD" w:rsidRDefault="0014780B" w:rsidP="0014780B">
      <w:pPr>
        <w:pStyle w:val="ListParagraph"/>
        <w:numPr>
          <w:ilvl w:val="0"/>
          <w:numId w:val="32"/>
        </w:numPr>
        <w:spacing w:line="240" w:lineRule="auto"/>
        <w:rPr>
          <w:sz w:val="24"/>
          <w:szCs w:val="24"/>
        </w:rPr>
      </w:pPr>
      <w:r w:rsidRPr="00206BAD">
        <w:rPr>
          <w:b/>
          <w:bCs/>
          <w:sz w:val="24"/>
          <w:szCs w:val="24"/>
        </w:rPr>
        <w:t>Sequential Causation Rules for Personal injury cases</w:t>
      </w:r>
      <w:r w:rsidRPr="00206BAD">
        <w:rPr>
          <w:sz w:val="24"/>
          <w:szCs w:val="24"/>
        </w:rPr>
        <w:t>:</w:t>
      </w:r>
    </w:p>
    <w:p w14:paraId="4E558D6C" w14:textId="77777777" w:rsidR="0014780B" w:rsidRPr="00206BAD" w:rsidRDefault="0014780B" w:rsidP="0014780B">
      <w:pPr>
        <w:pStyle w:val="ListParagraph"/>
        <w:numPr>
          <w:ilvl w:val="1"/>
          <w:numId w:val="32"/>
        </w:numPr>
        <w:spacing w:line="240" w:lineRule="auto"/>
        <w:rPr>
          <w:sz w:val="24"/>
          <w:szCs w:val="24"/>
        </w:rPr>
      </w:pPr>
      <w:r w:rsidRPr="00206BAD">
        <w:rPr>
          <w:b/>
          <w:bCs/>
          <w:sz w:val="24"/>
          <w:szCs w:val="24"/>
        </w:rPr>
        <w:t>Subsequent independent tortious cause</w:t>
      </w:r>
      <w:r w:rsidRPr="00206BAD">
        <w:rPr>
          <w:sz w:val="24"/>
          <w:szCs w:val="24"/>
        </w:rPr>
        <w:t xml:space="preserve">: </w:t>
      </w:r>
    </w:p>
    <w:p w14:paraId="431F4F43" w14:textId="77777777" w:rsidR="0014780B" w:rsidRPr="00206BAD" w:rsidRDefault="0014780B" w:rsidP="0014780B">
      <w:pPr>
        <w:pStyle w:val="ListParagraph"/>
        <w:numPr>
          <w:ilvl w:val="2"/>
          <w:numId w:val="32"/>
        </w:numPr>
        <w:spacing w:line="240" w:lineRule="auto"/>
        <w:rPr>
          <w:sz w:val="24"/>
          <w:szCs w:val="24"/>
        </w:rPr>
      </w:pPr>
      <w:r w:rsidRPr="00814F17">
        <w:rPr>
          <w:b/>
          <w:bCs/>
          <w:sz w:val="24"/>
          <w:szCs w:val="24"/>
        </w:rPr>
        <w:t>General Rule</w:t>
      </w:r>
      <w:r>
        <w:rPr>
          <w:sz w:val="24"/>
          <w:szCs w:val="24"/>
        </w:rPr>
        <w:t xml:space="preserve">: </w:t>
      </w:r>
      <w:r w:rsidRPr="00206BAD">
        <w:rPr>
          <w:sz w:val="24"/>
          <w:szCs w:val="24"/>
        </w:rPr>
        <w:t>Where the damage caused by the initial tortfeasor is worsened by an independent subsequent tortious cause,</w:t>
      </w:r>
      <w:r w:rsidRPr="00545C6C">
        <w:rPr>
          <w:rFonts w:asciiTheme="minorHAnsi" w:eastAsiaTheme="minorEastAsia" w:hAnsiTheme="minorHAnsi"/>
          <w:kern w:val="0"/>
          <w:sz w:val="24"/>
          <w:szCs w:val="24"/>
          <w:lang w:eastAsia="ja-JP"/>
          <w14:ligatures w14:val="none"/>
        </w:rPr>
        <w:t xml:space="preserve"> </w:t>
      </w:r>
      <w:r w:rsidRPr="00545C6C">
        <w:rPr>
          <w:sz w:val="24"/>
          <w:szCs w:val="24"/>
        </w:rPr>
        <w:t>the initial tortfeasor is liable for the whole injury whereas the subsequent tortfeasor is liable only for the damage caused by the subsequent injury</w:t>
      </w:r>
      <w:r w:rsidRPr="00206BAD">
        <w:rPr>
          <w:sz w:val="24"/>
          <w:szCs w:val="24"/>
        </w:rPr>
        <w:t>. (Baker v Willoughby 1970 UKHL)</w:t>
      </w:r>
    </w:p>
    <w:p w14:paraId="23308DD1" w14:textId="77777777" w:rsidR="0014780B" w:rsidRPr="00206BAD" w:rsidRDefault="0014780B" w:rsidP="0014780B">
      <w:pPr>
        <w:pStyle w:val="ListParagraph"/>
        <w:numPr>
          <w:ilvl w:val="3"/>
          <w:numId w:val="32"/>
        </w:numPr>
        <w:spacing w:line="240" w:lineRule="auto"/>
        <w:rPr>
          <w:sz w:val="24"/>
          <w:szCs w:val="24"/>
        </w:rPr>
      </w:pPr>
      <w:r w:rsidRPr="00814F17">
        <w:rPr>
          <w:b/>
          <w:bCs/>
          <w:sz w:val="24"/>
          <w:szCs w:val="24"/>
        </w:rPr>
        <w:t>Context</w:t>
      </w:r>
      <w:r w:rsidRPr="00206BAD">
        <w:rPr>
          <w:sz w:val="24"/>
          <w:szCs w:val="24"/>
        </w:rPr>
        <w:t>: The plaintiff’s leg was injured at work, so he could not work. He sued his employer for lost wages. During the trial, he was robbed and shot in the injured leg, so it was amputated.</w:t>
      </w:r>
    </w:p>
    <w:p w14:paraId="18BD418D" w14:textId="77777777" w:rsidR="0014780B" w:rsidRDefault="0014780B" w:rsidP="0014780B">
      <w:pPr>
        <w:pStyle w:val="ListParagraph"/>
        <w:numPr>
          <w:ilvl w:val="2"/>
          <w:numId w:val="32"/>
        </w:numPr>
        <w:spacing w:line="240" w:lineRule="auto"/>
        <w:rPr>
          <w:sz w:val="24"/>
          <w:szCs w:val="24"/>
        </w:rPr>
      </w:pPr>
      <w:r w:rsidRPr="00814F17">
        <w:rPr>
          <w:b/>
          <w:bCs/>
          <w:sz w:val="24"/>
          <w:szCs w:val="24"/>
        </w:rPr>
        <w:t>Note</w:t>
      </w:r>
      <w:r w:rsidRPr="00206BAD">
        <w:rPr>
          <w:sz w:val="24"/>
          <w:szCs w:val="24"/>
        </w:rPr>
        <w:t xml:space="preserve">: A subsequent tortious act does not alter the plaintiff’s original position, so damages are not altered thereby for the first tortfeasor. However, the second tortfeasor can make such an argument since the </w:t>
      </w:r>
      <w:r w:rsidRPr="00206BAD">
        <w:rPr>
          <w:sz w:val="24"/>
          <w:szCs w:val="24"/>
        </w:rPr>
        <w:lastRenderedPageBreak/>
        <w:t>plaintiff’s original position was already altered by the first tortfeasor at the time of the second tortious act. (Jobling 1982 UKHL)</w:t>
      </w:r>
    </w:p>
    <w:p w14:paraId="2F8881A9" w14:textId="77777777" w:rsidR="0014780B" w:rsidRPr="00206BAD" w:rsidRDefault="0014780B" w:rsidP="0014780B">
      <w:pPr>
        <w:pStyle w:val="ListParagraph"/>
        <w:numPr>
          <w:ilvl w:val="3"/>
          <w:numId w:val="32"/>
        </w:numPr>
        <w:spacing w:line="240" w:lineRule="auto"/>
        <w:rPr>
          <w:sz w:val="24"/>
          <w:szCs w:val="24"/>
        </w:rPr>
      </w:pPr>
      <w:r>
        <w:rPr>
          <w:sz w:val="24"/>
          <w:szCs w:val="24"/>
        </w:rPr>
        <w:t>Initial tortfeasor can’t argue for reduction in damages but can sue the subsequent tortfeasor for apportionment.</w:t>
      </w:r>
    </w:p>
    <w:p w14:paraId="22E2F628" w14:textId="77777777" w:rsidR="0014780B" w:rsidRPr="00206BAD" w:rsidRDefault="0014780B" w:rsidP="0014780B">
      <w:pPr>
        <w:pStyle w:val="ListParagraph"/>
        <w:numPr>
          <w:ilvl w:val="1"/>
          <w:numId w:val="32"/>
        </w:numPr>
        <w:spacing w:line="240" w:lineRule="auto"/>
        <w:rPr>
          <w:sz w:val="24"/>
          <w:szCs w:val="24"/>
        </w:rPr>
      </w:pPr>
      <w:r w:rsidRPr="00206BAD">
        <w:rPr>
          <w:b/>
          <w:bCs/>
          <w:sz w:val="24"/>
          <w:szCs w:val="24"/>
        </w:rPr>
        <w:t>Subsequent independent non-tortious cause</w:t>
      </w:r>
      <w:r w:rsidRPr="00206BAD">
        <w:rPr>
          <w:sz w:val="24"/>
          <w:szCs w:val="24"/>
        </w:rPr>
        <w:t>:</w:t>
      </w:r>
    </w:p>
    <w:p w14:paraId="780A1420" w14:textId="77777777" w:rsidR="0014780B" w:rsidRDefault="0014780B" w:rsidP="0014780B">
      <w:pPr>
        <w:pStyle w:val="ListParagraph"/>
        <w:numPr>
          <w:ilvl w:val="2"/>
          <w:numId w:val="32"/>
        </w:numPr>
        <w:spacing w:line="240" w:lineRule="auto"/>
        <w:rPr>
          <w:sz w:val="24"/>
          <w:szCs w:val="24"/>
        </w:rPr>
      </w:pPr>
      <w:r>
        <w:rPr>
          <w:b/>
          <w:bCs/>
          <w:sz w:val="24"/>
          <w:szCs w:val="24"/>
        </w:rPr>
        <w:t xml:space="preserve">General Rule: </w:t>
      </w:r>
      <w:r w:rsidRPr="00206BAD">
        <w:rPr>
          <w:sz w:val="24"/>
          <w:szCs w:val="24"/>
        </w:rPr>
        <w:t xml:space="preserve">A subsequent non-tortious cause, such as an independently arising illness </w:t>
      </w:r>
      <w:r w:rsidRPr="00206BAD">
        <w:rPr>
          <w:sz w:val="24"/>
          <w:szCs w:val="24"/>
          <w:lang w:val="en-US"/>
        </w:rPr>
        <w:t>(would have happened regardless of the negligence),</w:t>
      </w:r>
      <w:r w:rsidRPr="00206BAD">
        <w:rPr>
          <w:sz w:val="24"/>
          <w:szCs w:val="24"/>
        </w:rPr>
        <w:t xml:space="preserve"> alters the plaintiff’s original position and thus lowers the damages for which the tortfeasor is liable. (Athey 1996 SCC, approving of the same principle in Jobling 1981 UKHL and Penner Alta. CA 1978)</w:t>
      </w:r>
    </w:p>
    <w:p w14:paraId="35B30749" w14:textId="77777777" w:rsidR="0014780B" w:rsidRPr="00206BAD" w:rsidRDefault="0014780B" w:rsidP="0014780B">
      <w:pPr>
        <w:pStyle w:val="ListParagraph"/>
        <w:numPr>
          <w:ilvl w:val="3"/>
          <w:numId w:val="32"/>
        </w:numPr>
        <w:spacing w:line="240" w:lineRule="auto"/>
        <w:rPr>
          <w:sz w:val="24"/>
          <w:szCs w:val="24"/>
        </w:rPr>
      </w:pPr>
      <w:r>
        <w:rPr>
          <w:b/>
          <w:bCs/>
          <w:sz w:val="24"/>
          <w:szCs w:val="24"/>
        </w:rPr>
        <w:t>Note:</w:t>
      </w:r>
      <w:r>
        <w:rPr>
          <w:sz w:val="24"/>
          <w:szCs w:val="24"/>
        </w:rPr>
        <w:t xml:space="preserve"> This is not true apportionment because the impact goes to the plaintiff’s original position. (Athey)</w:t>
      </w:r>
    </w:p>
    <w:p w14:paraId="339EC311" w14:textId="760A721B" w:rsidR="0014780B" w:rsidRPr="0014780B" w:rsidRDefault="0014780B" w:rsidP="0014780B">
      <w:pPr>
        <w:pStyle w:val="ListParagraph"/>
        <w:numPr>
          <w:ilvl w:val="2"/>
          <w:numId w:val="32"/>
        </w:numPr>
        <w:spacing w:line="240" w:lineRule="auto"/>
        <w:rPr>
          <w:sz w:val="24"/>
          <w:szCs w:val="24"/>
        </w:rPr>
      </w:pPr>
      <w:r>
        <w:rPr>
          <w:b/>
          <w:bCs/>
          <w:sz w:val="24"/>
          <w:szCs w:val="24"/>
        </w:rPr>
        <w:t xml:space="preserve">Apportionment Procedure: </w:t>
      </w:r>
      <w:r w:rsidRPr="00206BAD">
        <w:rPr>
          <w:sz w:val="24"/>
          <w:szCs w:val="24"/>
        </w:rPr>
        <w:t>In lowering damages, make the calculation by treating the non-tortious cause as if it had been tortious and apportion damages between the two. (Athey 1996 SCC, approving of the same principle in Jobling 1981 UKHL and Penner Alta. CA 1978)</w:t>
      </w:r>
    </w:p>
    <w:p w14:paraId="77E9A8E4" w14:textId="7ABBFF97" w:rsidR="002871A5" w:rsidRPr="002871A5" w:rsidRDefault="002871A5" w:rsidP="002871A5">
      <w:pPr>
        <w:pStyle w:val="Heading2"/>
      </w:pPr>
      <w:r>
        <w:t>Robust and Pragmatic Approaches to the But-For Test</w:t>
      </w:r>
    </w:p>
    <w:p w14:paraId="2FA76510" w14:textId="77777777" w:rsidR="002871A5" w:rsidRDefault="002871A5" w:rsidP="002871A5">
      <w:pPr>
        <w:pStyle w:val="Heading2"/>
        <w:rPr>
          <w:b/>
          <w:bCs/>
          <w:i/>
          <w:iCs/>
        </w:rPr>
      </w:pPr>
      <w:r>
        <w:t xml:space="preserve">Material Contribution to </w:t>
      </w:r>
      <w:r w:rsidRPr="00036364">
        <w:rPr>
          <w:b/>
          <w:bCs/>
          <w:i/>
          <w:iCs/>
        </w:rPr>
        <w:t>Injury</w:t>
      </w:r>
    </w:p>
    <w:p w14:paraId="2A184CF5" w14:textId="3DC8AA0B" w:rsidR="002871A5" w:rsidRDefault="002871A5" w:rsidP="002871A5">
      <w:pPr>
        <w:pStyle w:val="ListParagraph"/>
        <w:numPr>
          <w:ilvl w:val="0"/>
          <w:numId w:val="31"/>
        </w:numPr>
        <w:rPr>
          <w:sz w:val="24"/>
          <w:szCs w:val="24"/>
        </w:rPr>
      </w:pPr>
      <w:r>
        <w:rPr>
          <w:b/>
          <w:bCs/>
          <w:sz w:val="24"/>
          <w:szCs w:val="24"/>
        </w:rPr>
        <w:t>Minimum Threshold for Material Contribution to Injury</w:t>
      </w:r>
      <w:r w:rsidRPr="00B62293">
        <w:rPr>
          <w:sz w:val="24"/>
          <w:szCs w:val="24"/>
        </w:rPr>
        <w:t>:</w:t>
      </w:r>
      <w:r>
        <w:rPr>
          <w:sz w:val="24"/>
          <w:szCs w:val="24"/>
        </w:rPr>
        <w:t xml:space="preserve"> A material contribution need not be a necessary</w:t>
      </w:r>
      <w:r w:rsidR="0034214B">
        <w:rPr>
          <w:sz w:val="24"/>
          <w:szCs w:val="24"/>
        </w:rPr>
        <w:t xml:space="preserve"> or sole</w:t>
      </w:r>
      <w:r>
        <w:rPr>
          <w:sz w:val="24"/>
          <w:szCs w:val="24"/>
        </w:rPr>
        <w:t xml:space="preserve"> cause of the injury, but it must be a sufficient cause of the injury</w:t>
      </w:r>
      <w:r w:rsidR="003A3641">
        <w:rPr>
          <w:sz w:val="24"/>
          <w:szCs w:val="24"/>
        </w:rPr>
        <w:t xml:space="preserve"> (</w:t>
      </w:r>
      <w:r w:rsidR="003A3641" w:rsidRPr="003A3641">
        <w:rPr>
          <w:sz w:val="24"/>
          <w:szCs w:val="24"/>
        </w:rPr>
        <w:t xml:space="preserve">Lord </w:t>
      </w:r>
      <w:r w:rsidR="003A3641" w:rsidRPr="003A3641">
        <w:rPr>
          <w:sz w:val="24"/>
          <w:szCs w:val="24"/>
          <w:lang w:val="en-US"/>
        </w:rPr>
        <w:t xml:space="preserve">Reid in </w:t>
      </w:r>
      <w:r w:rsidR="003A3641" w:rsidRPr="003A3641">
        <w:rPr>
          <w:sz w:val="24"/>
          <w:szCs w:val="24"/>
        </w:rPr>
        <w:t>McGhee 1972 UKHL</w:t>
      </w:r>
      <w:r w:rsidR="003A3641">
        <w:rPr>
          <w:sz w:val="24"/>
          <w:szCs w:val="24"/>
        </w:rPr>
        <w:t>)</w:t>
      </w:r>
      <w:r>
        <w:rPr>
          <w:sz w:val="24"/>
          <w:szCs w:val="24"/>
        </w:rPr>
        <w:t>.</w:t>
      </w:r>
      <w:r w:rsidRPr="00976960">
        <w:rPr>
          <w:b/>
          <w:bCs/>
          <w:sz w:val="24"/>
          <w:szCs w:val="24"/>
        </w:rPr>
        <w:t xml:space="preserve"> </w:t>
      </w:r>
      <w:r w:rsidRPr="00976960">
        <w:rPr>
          <w:sz w:val="24"/>
          <w:szCs w:val="24"/>
        </w:rPr>
        <w:t xml:space="preserve">A contribution is material if it is non-trivial, more than </w:t>
      </w:r>
      <w:r w:rsidRPr="00976960">
        <w:rPr>
          <w:i/>
          <w:iCs/>
          <w:sz w:val="24"/>
          <w:szCs w:val="24"/>
        </w:rPr>
        <w:t>de minimis</w:t>
      </w:r>
      <w:r w:rsidRPr="00976960">
        <w:rPr>
          <w:sz w:val="24"/>
          <w:szCs w:val="24"/>
        </w:rPr>
        <w:t>. (Athey 1996 SCC, Walker Estate 2001 SCC</w:t>
      </w:r>
      <w:r w:rsidR="003A3641">
        <w:rPr>
          <w:sz w:val="24"/>
          <w:szCs w:val="24"/>
        </w:rPr>
        <w:t>)</w:t>
      </w:r>
    </w:p>
    <w:p w14:paraId="0D7830F9" w14:textId="3E075986" w:rsidR="001756E2" w:rsidRDefault="001756E2" w:rsidP="001756E2">
      <w:pPr>
        <w:pStyle w:val="ListParagraph"/>
        <w:numPr>
          <w:ilvl w:val="1"/>
          <w:numId w:val="31"/>
        </w:numPr>
        <w:rPr>
          <w:sz w:val="24"/>
          <w:szCs w:val="24"/>
        </w:rPr>
      </w:pPr>
      <w:r>
        <w:rPr>
          <w:sz w:val="24"/>
          <w:szCs w:val="24"/>
        </w:rPr>
        <w:t>This is not a truly independent test for causation. Rather it reflects the tactical shift in the burden of proof in cases of evidential disparity under Lord Mansfield’s Maxim. (Snell)</w:t>
      </w:r>
    </w:p>
    <w:p w14:paraId="0A7F9AF7" w14:textId="77777777" w:rsidR="00E11FAD" w:rsidRDefault="00E11FAD" w:rsidP="00E11FAD">
      <w:pPr>
        <w:pStyle w:val="ListParagraph"/>
        <w:numPr>
          <w:ilvl w:val="0"/>
          <w:numId w:val="31"/>
        </w:numPr>
        <w:rPr>
          <w:sz w:val="24"/>
          <w:szCs w:val="24"/>
        </w:rPr>
      </w:pPr>
      <w:r w:rsidRPr="004D7E38">
        <w:rPr>
          <w:b/>
          <w:bCs/>
          <w:sz w:val="24"/>
          <w:szCs w:val="24"/>
        </w:rPr>
        <w:t>Limitation</w:t>
      </w:r>
      <w:r>
        <w:rPr>
          <w:b/>
          <w:bCs/>
          <w:sz w:val="24"/>
          <w:szCs w:val="24"/>
        </w:rPr>
        <w:t xml:space="preserve"> on scope of application</w:t>
      </w:r>
      <w:r>
        <w:rPr>
          <w:sz w:val="24"/>
          <w:szCs w:val="24"/>
        </w:rPr>
        <w:t>: The material contribution to injury test should be used where there are multiple tortfeasors but only one cause/mechanism of damage, not where there are multiple tortfeasors and multiple potential independent causes/mechanisms of damage each of which would have been sufficient to cause the damage. (Wilsher 1988 UKHL, supported by Fairchild 2002 UKHL)</w:t>
      </w:r>
    </w:p>
    <w:p w14:paraId="5C68AFA6" w14:textId="77777777" w:rsidR="00E11FAD" w:rsidRDefault="00E11FAD" w:rsidP="00E11FAD">
      <w:pPr>
        <w:pStyle w:val="ListParagraph"/>
        <w:numPr>
          <w:ilvl w:val="1"/>
          <w:numId w:val="31"/>
        </w:numPr>
        <w:rPr>
          <w:sz w:val="24"/>
          <w:szCs w:val="24"/>
        </w:rPr>
      </w:pPr>
      <w:r>
        <w:rPr>
          <w:sz w:val="24"/>
          <w:szCs w:val="24"/>
        </w:rPr>
        <w:t>Context: Baby was made blind by negligence. Multiple tortfeasors and multiple possible sufficient causes.</w:t>
      </w:r>
    </w:p>
    <w:p w14:paraId="093D0D4D" w14:textId="22C632EC" w:rsidR="00E11FAD" w:rsidRPr="00E11FAD" w:rsidRDefault="00E11FAD" w:rsidP="00E11FAD">
      <w:pPr>
        <w:pStyle w:val="ListParagraph"/>
        <w:numPr>
          <w:ilvl w:val="1"/>
          <w:numId w:val="31"/>
        </w:numPr>
        <w:rPr>
          <w:sz w:val="24"/>
          <w:szCs w:val="24"/>
        </w:rPr>
      </w:pPr>
      <w:r w:rsidRPr="00FE4755">
        <w:rPr>
          <w:sz w:val="24"/>
          <w:szCs w:val="24"/>
          <w:lang w:val="en-US"/>
        </w:rPr>
        <w:t>“A failure to take preventative measures against one out of five possible causes is no evidence as to which of those five caused the injury.”</w:t>
      </w:r>
      <w:r>
        <w:rPr>
          <w:sz w:val="24"/>
          <w:szCs w:val="24"/>
          <w:lang w:val="en-US"/>
        </w:rPr>
        <w:t xml:space="preserve"> (Wilsher)</w:t>
      </w:r>
    </w:p>
    <w:p w14:paraId="4BDE6155" w14:textId="3F7D54A8" w:rsidR="0034214B" w:rsidRPr="0034214B" w:rsidRDefault="0034214B" w:rsidP="0034214B">
      <w:pPr>
        <w:pStyle w:val="ListParagraph"/>
        <w:numPr>
          <w:ilvl w:val="0"/>
          <w:numId w:val="31"/>
        </w:numPr>
        <w:rPr>
          <w:sz w:val="24"/>
          <w:szCs w:val="24"/>
        </w:rPr>
      </w:pPr>
      <w:r w:rsidRPr="0034214B">
        <w:rPr>
          <w:b/>
          <w:bCs/>
          <w:sz w:val="24"/>
          <w:szCs w:val="24"/>
        </w:rPr>
        <w:t>Some Comments on McGhee</w:t>
      </w:r>
      <w:r>
        <w:rPr>
          <w:sz w:val="24"/>
          <w:szCs w:val="24"/>
        </w:rPr>
        <w:t>:</w:t>
      </w:r>
    </w:p>
    <w:p w14:paraId="0BF82024" w14:textId="0A609CD9" w:rsidR="002871A5" w:rsidRPr="00AB3C09" w:rsidRDefault="0034214B" w:rsidP="002871A5">
      <w:pPr>
        <w:pStyle w:val="ListParagraph"/>
        <w:numPr>
          <w:ilvl w:val="1"/>
          <w:numId w:val="31"/>
        </w:numPr>
        <w:rPr>
          <w:sz w:val="24"/>
          <w:szCs w:val="24"/>
        </w:rPr>
      </w:pPr>
      <w:r w:rsidRPr="0034214B">
        <w:rPr>
          <w:b/>
          <w:bCs/>
          <w:sz w:val="24"/>
          <w:szCs w:val="24"/>
        </w:rPr>
        <w:t>Example of application of material contribution to injury test</w:t>
      </w:r>
      <w:r>
        <w:rPr>
          <w:sz w:val="24"/>
          <w:szCs w:val="24"/>
        </w:rPr>
        <w:t xml:space="preserve">: </w:t>
      </w:r>
      <w:r w:rsidR="002871A5" w:rsidRPr="00AB3C09">
        <w:rPr>
          <w:sz w:val="24"/>
          <w:szCs w:val="24"/>
        </w:rPr>
        <w:t xml:space="preserve">Where an injury is caused by two or more causes operating cumulatively, one or more </w:t>
      </w:r>
      <w:r w:rsidR="002871A5" w:rsidRPr="00AB3C09">
        <w:rPr>
          <w:sz w:val="24"/>
          <w:szCs w:val="24"/>
        </w:rPr>
        <w:lastRenderedPageBreak/>
        <w:t>of which is tortious and one or more of which is innocent, such that it is impossible to prove the proportion in which the causes produced the injury or which cause was decisive in producing the injury, a plaintiff is entitled to damages if he proves on a balance of probabilities that the tortious cause or causes substantially contributed to causing the injury. This applies regardless of whether the cumulative causes are concurrent or successive. (paraphrase</w:t>
      </w:r>
      <w:r w:rsidR="002871A5">
        <w:rPr>
          <w:sz w:val="24"/>
          <w:szCs w:val="24"/>
        </w:rPr>
        <w:t xml:space="preserve"> from Lord Simon in McGhee</w:t>
      </w:r>
      <w:r w:rsidR="002871A5" w:rsidRPr="00AB3C09">
        <w:rPr>
          <w:sz w:val="24"/>
          <w:szCs w:val="24"/>
        </w:rPr>
        <w:t>)</w:t>
      </w:r>
    </w:p>
    <w:p w14:paraId="48F5AF1D" w14:textId="77777777" w:rsidR="002871A5" w:rsidRDefault="002871A5" w:rsidP="002871A5">
      <w:pPr>
        <w:pStyle w:val="ListParagraph"/>
        <w:numPr>
          <w:ilvl w:val="1"/>
          <w:numId w:val="31"/>
        </w:numPr>
        <w:rPr>
          <w:sz w:val="24"/>
          <w:szCs w:val="24"/>
        </w:rPr>
      </w:pPr>
      <w:r w:rsidRPr="0034214B">
        <w:rPr>
          <w:b/>
          <w:bCs/>
          <w:sz w:val="24"/>
          <w:szCs w:val="24"/>
        </w:rPr>
        <w:t>Commentary</w:t>
      </w:r>
      <w:r>
        <w:rPr>
          <w:sz w:val="24"/>
          <w:szCs w:val="24"/>
        </w:rPr>
        <w:t>:</w:t>
      </w:r>
      <w:r w:rsidRPr="00A42882">
        <w:t xml:space="preserve"> </w:t>
      </w:r>
      <w:r w:rsidRPr="00A42882">
        <w:rPr>
          <w:sz w:val="24"/>
          <w:szCs w:val="24"/>
        </w:rPr>
        <w:t xml:space="preserve">The problem with </w:t>
      </w:r>
      <w:r>
        <w:rPr>
          <w:sz w:val="24"/>
          <w:szCs w:val="24"/>
        </w:rPr>
        <w:t>McGhee</w:t>
      </w:r>
      <w:r w:rsidRPr="00A42882">
        <w:rPr>
          <w:sz w:val="24"/>
          <w:szCs w:val="24"/>
        </w:rPr>
        <w:t xml:space="preserve"> is that there is no distinction between analyzing this as a material contribution to injury case under a robust and pragmatic application of the but-for test and analyzing it as a material contribution to risk case which is an exception to the but-for rule (See Lord Reid’s Reasons). This has caused no end of confusion. That’s why the material contribution to risk test in Clements has exclusionary pre-requisites. </w:t>
      </w:r>
      <w:r w:rsidRPr="0034214B">
        <w:rPr>
          <w:b/>
          <w:bCs/>
          <w:sz w:val="24"/>
          <w:szCs w:val="24"/>
        </w:rPr>
        <w:t>Under Clements this would be decided on a robust and pragmatic application of the but-for test, that is by material contribution to injury</w:t>
      </w:r>
      <w:r w:rsidRPr="00A42882">
        <w:rPr>
          <w:sz w:val="24"/>
          <w:szCs w:val="24"/>
        </w:rPr>
        <w:t>.</w:t>
      </w:r>
    </w:p>
    <w:p w14:paraId="144BC18E" w14:textId="77777777" w:rsidR="002871A5" w:rsidRDefault="002871A5" w:rsidP="002871A5">
      <w:pPr>
        <w:pStyle w:val="ListParagraph"/>
        <w:numPr>
          <w:ilvl w:val="1"/>
          <w:numId w:val="31"/>
        </w:numPr>
        <w:rPr>
          <w:sz w:val="24"/>
          <w:szCs w:val="24"/>
        </w:rPr>
      </w:pPr>
      <w:r w:rsidRPr="0034214B">
        <w:rPr>
          <w:b/>
          <w:bCs/>
          <w:sz w:val="24"/>
          <w:szCs w:val="24"/>
        </w:rPr>
        <w:t>For example, see the reasoning in Fairchild UKHL 2002</w:t>
      </w:r>
      <w:r>
        <w:rPr>
          <w:sz w:val="24"/>
          <w:szCs w:val="24"/>
        </w:rPr>
        <w:t>:</w:t>
      </w:r>
    </w:p>
    <w:p w14:paraId="394D2C25" w14:textId="77777777" w:rsidR="002871A5" w:rsidRDefault="002871A5" w:rsidP="002871A5">
      <w:pPr>
        <w:pStyle w:val="ListParagraph"/>
        <w:numPr>
          <w:ilvl w:val="2"/>
          <w:numId w:val="31"/>
        </w:numPr>
        <w:rPr>
          <w:sz w:val="24"/>
          <w:szCs w:val="24"/>
        </w:rPr>
      </w:pPr>
      <w:r>
        <w:rPr>
          <w:sz w:val="24"/>
          <w:szCs w:val="24"/>
        </w:rPr>
        <w:t>There the court held that McGhee stood for a new test, a material contribution to risk test justified on public policy grounds.</w:t>
      </w:r>
    </w:p>
    <w:p w14:paraId="60A34CD3" w14:textId="77777777" w:rsidR="002871A5" w:rsidRPr="00655249" w:rsidRDefault="002871A5" w:rsidP="002871A5">
      <w:pPr>
        <w:pStyle w:val="ListParagraph"/>
        <w:numPr>
          <w:ilvl w:val="2"/>
          <w:numId w:val="31"/>
        </w:numPr>
        <w:rPr>
          <w:sz w:val="24"/>
          <w:szCs w:val="24"/>
        </w:rPr>
      </w:pPr>
      <w:r w:rsidRPr="00832988">
        <w:rPr>
          <w:sz w:val="24"/>
          <w:szCs w:val="24"/>
          <w:lang w:val="en-US"/>
        </w:rPr>
        <w:t xml:space="preserve">“I </w:t>
      </w:r>
      <w:proofErr w:type="gramStart"/>
      <w:r w:rsidRPr="00832988">
        <w:rPr>
          <w:sz w:val="24"/>
          <w:szCs w:val="24"/>
          <w:lang w:val="en-US"/>
        </w:rPr>
        <w:t>am of the opinion that</w:t>
      </w:r>
      <w:proofErr w:type="gramEnd"/>
      <w:r w:rsidRPr="00832988">
        <w:rPr>
          <w:sz w:val="24"/>
          <w:szCs w:val="24"/>
          <w:lang w:val="en-US"/>
        </w:rPr>
        <w:t xml:space="preserve"> such injustice as may be involved in imposing liability on a duty-breaking employer in these circumstances is heavily outweighed by the injustice of denying redress to a victim. Were the law otherwise, an employer exposing his employee to asbestos dust could obtain complete immunity against mesothelioma claims by employing only those who had previously been exposed to excessive quantities of asbestos dust. Such a result would reflect no credit on the law.” (Lord Bingham in Fairchild)</w:t>
      </w:r>
    </w:p>
    <w:p w14:paraId="12346651" w14:textId="2B30FB81" w:rsidR="00655249" w:rsidRPr="00655249" w:rsidRDefault="00655249" w:rsidP="00655249">
      <w:pPr>
        <w:pStyle w:val="ListParagraph"/>
        <w:numPr>
          <w:ilvl w:val="0"/>
          <w:numId w:val="31"/>
        </w:numPr>
        <w:rPr>
          <w:sz w:val="24"/>
          <w:szCs w:val="24"/>
        </w:rPr>
      </w:pPr>
      <w:r>
        <w:rPr>
          <w:b/>
          <w:bCs/>
          <w:sz w:val="24"/>
          <w:szCs w:val="24"/>
          <w:lang w:val="en-US"/>
        </w:rPr>
        <w:t>Example</w:t>
      </w:r>
      <w:r>
        <w:rPr>
          <w:sz w:val="24"/>
          <w:szCs w:val="24"/>
          <w:lang w:val="en-US"/>
        </w:rPr>
        <w:t xml:space="preserve"> of the application of robust and pragmatic approach in </w:t>
      </w:r>
      <w:r w:rsidRPr="00655249">
        <w:rPr>
          <w:bCs/>
          <w:sz w:val="24"/>
          <w:szCs w:val="24"/>
        </w:rPr>
        <w:t>Walker Estate v York Finch General Hospital, 2001 SCC 23</w:t>
      </w:r>
    </w:p>
    <w:p w14:paraId="7F45E9B2" w14:textId="77777777" w:rsidR="00655249" w:rsidRDefault="00655249" w:rsidP="00655249">
      <w:pPr>
        <w:pStyle w:val="ListParagraph"/>
        <w:numPr>
          <w:ilvl w:val="1"/>
          <w:numId w:val="31"/>
        </w:numPr>
        <w:spacing w:line="240" w:lineRule="auto"/>
        <w:rPr>
          <w:bCs/>
          <w:sz w:val="24"/>
          <w:szCs w:val="24"/>
        </w:rPr>
      </w:pPr>
      <w:r>
        <w:rPr>
          <w:bCs/>
          <w:sz w:val="24"/>
          <w:szCs w:val="24"/>
        </w:rPr>
        <w:t>Factual context: The plaintiff died of AIDS from a blood transfusion. Estate sued the Canadian Red Cross for negligently screening the donor (a high-risk donor). The American Red Cross pamphlet would have told the donor that even if you feel healthy you still might transmit AIDS via blood. The Canadian Red Cross pamphlet didn’t. Thus, there was a breach of the standard of care.</w:t>
      </w:r>
    </w:p>
    <w:p w14:paraId="38233B50" w14:textId="77777777" w:rsidR="00655249" w:rsidRDefault="00655249" w:rsidP="00655249">
      <w:pPr>
        <w:pStyle w:val="ListParagraph"/>
        <w:numPr>
          <w:ilvl w:val="1"/>
          <w:numId w:val="31"/>
        </w:numPr>
        <w:spacing w:line="240" w:lineRule="auto"/>
        <w:rPr>
          <w:bCs/>
          <w:sz w:val="24"/>
          <w:szCs w:val="24"/>
        </w:rPr>
      </w:pPr>
      <w:r>
        <w:rPr>
          <w:bCs/>
          <w:sz w:val="24"/>
          <w:szCs w:val="24"/>
        </w:rPr>
        <w:t>How did the court respond:</w:t>
      </w:r>
    </w:p>
    <w:p w14:paraId="3AA74A66" w14:textId="69EC1BD1" w:rsidR="00655249" w:rsidRDefault="00655249" w:rsidP="00655249">
      <w:pPr>
        <w:pStyle w:val="ListParagraph"/>
        <w:numPr>
          <w:ilvl w:val="2"/>
          <w:numId w:val="31"/>
        </w:numPr>
        <w:spacing w:line="240" w:lineRule="auto"/>
        <w:rPr>
          <w:bCs/>
          <w:sz w:val="24"/>
          <w:szCs w:val="24"/>
        </w:rPr>
      </w:pPr>
      <w:r>
        <w:rPr>
          <w:bCs/>
          <w:sz w:val="24"/>
          <w:szCs w:val="24"/>
        </w:rPr>
        <w:t xml:space="preserve">For this type of case usually we use the material contribution </w:t>
      </w:r>
      <w:r w:rsidR="00DF4311">
        <w:rPr>
          <w:bCs/>
          <w:sz w:val="24"/>
          <w:szCs w:val="24"/>
        </w:rPr>
        <w:t xml:space="preserve">to injury </w:t>
      </w:r>
      <w:r>
        <w:rPr>
          <w:bCs/>
          <w:sz w:val="24"/>
          <w:szCs w:val="24"/>
        </w:rPr>
        <w:t xml:space="preserve">test. </w:t>
      </w:r>
    </w:p>
    <w:p w14:paraId="7EA4C55C" w14:textId="780CE277" w:rsidR="00655249" w:rsidRDefault="00655249" w:rsidP="00655249">
      <w:pPr>
        <w:pStyle w:val="ListParagraph"/>
        <w:numPr>
          <w:ilvl w:val="2"/>
          <w:numId w:val="31"/>
        </w:numPr>
        <w:spacing w:line="240" w:lineRule="auto"/>
        <w:rPr>
          <w:bCs/>
          <w:sz w:val="24"/>
          <w:szCs w:val="24"/>
        </w:rPr>
      </w:pPr>
      <w:r>
        <w:rPr>
          <w:bCs/>
          <w:sz w:val="24"/>
          <w:szCs w:val="24"/>
        </w:rPr>
        <w:t>However, even “using the strict but-for test, which is not required in these types of cases, causation is proved on the facts.”</w:t>
      </w:r>
    </w:p>
    <w:p w14:paraId="311D4283" w14:textId="5231C6F5" w:rsidR="009679B4" w:rsidRPr="00655249" w:rsidRDefault="009679B4" w:rsidP="00655249">
      <w:pPr>
        <w:pStyle w:val="ListParagraph"/>
        <w:numPr>
          <w:ilvl w:val="2"/>
          <w:numId w:val="31"/>
        </w:numPr>
        <w:spacing w:line="240" w:lineRule="auto"/>
        <w:rPr>
          <w:bCs/>
          <w:sz w:val="24"/>
          <w:szCs w:val="24"/>
        </w:rPr>
      </w:pPr>
      <w:r>
        <w:rPr>
          <w:bCs/>
          <w:sz w:val="24"/>
          <w:szCs w:val="24"/>
        </w:rPr>
        <w:t xml:space="preserve">Note: This is one of those cases where there’s no meaningful distinction between contribution to injury and contribution to risk of </w:t>
      </w:r>
      <w:r>
        <w:rPr>
          <w:bCs/>
          <w:sz w:val="24"/>
          <w:szCs w:val="24"/>
        </w:rPr>
        <w:lastRenderedPageBreak/>
        <w:t>injury. This is because you either get AIDS or you don’t. You don’t get a little AIDS.</w:t>
      </w:r>
      <w:r w:rsidR="00E62554">
        <w:rPr>
          <w:bCs/>
          <w:sz w:val="24"/>
          <w:szCs w:val="24"/>
        </w:rPr>
        <w:t xml:space="preserve"> The defendant’s breach of the standard of care was a sufficient cause of the injury</w:t>
      </w:r>
      <w:r w:rsidR="00744B35">
        <w:rPr>
          <w:bCs/>
          <w:sz w:val="24"/>
          <w:szCs w:val="24"/>
        </w:rPr>
        <w:t xml:space="preserve"> but not a necessary one. This is why they did not use the strict but-for test, though they could have anyway and gotten the same result.</w:t>
      </w:r>
    </w:p>
    <w:p w14:paraId="3D5506BE" w14:textId="77777777" w:rsidR="002871A5" w:rsidRDefault="002871A5" w:rsidP="002871A5">
      <w:pPr>
        <w:pStyle w:val="ListParagraph"/>
        <w:numPr>
          <w:ilvl w:val="0"/>
          <w:numId w:val="31"/>
        </w:numPr>
        <w:rPr>
          <w:sz w:val="24"/>
          <w:szCs w:val="24"/>
        </w:rPr>
      </w:pPr>
      <w:r w:rsidRPr="003519A0">
        <w:rPr>
          <w:b/>
          <w:bCs/>
          <w:sz w:val="24"/>
          <w:szCs w:val="24"/>
        </w:rPr>
        <w:t>Example</w:t>
      </w:r>
      <w:r>
        <w:rPr>
          <w:sz w:val="24"/>
          <w:szCs w:val="24"/>
        </w:rPr>
        <w:t xml:space="preserve"> of the application of robust and pragmatic approach to but-for in Reynolds v Texas and Pac. Ry. LA CA 1885.</w:t>
      </w:r>
    </w:p>
    <w:p w14:paraId="01F08B35" w14:textId="77777777" w:rsidR="002871A5" w:rsidRDefault="002871A5" w:rsidP="002871A5">
      <w:pPr>
        <w:pStyle w:val="ListParagraph"/>
        <w:numPr>
          <w:ilvl w:val="1"/>
          <w:numId w:val="31"/>
        </w:numPr>
        <w:rPr>
          <w:sz w:val="24"/>
          <w:szCs w:val="24"/>
        </w:rPr>
      </w:pPr>
      <w:r>
        <w:rPr>
          <w:sz w:val="24"/>
          <w:szCs w:val="24"/>
        </w:rPr>
        <w:t xml:space="preserve">Fat woman fell </w:t>
      </w:r>
      <w:proofErr w:type="gramStart"/>
      <w:r>
        <w:rPr>
          <w:sz w:val="24"/>
          <w:szCs w:val="24"/>
        </w:rPr>
        <w:t>down stairs</w:t>
      </w:r>
      <w:proofErr w:type="gramEnd"/>
      <w:r>
        <w:rPr>
          <w:sz w:val="24"/>
          <w:szCs w:val="24"/>
        </w:rPr>
        <w:t xml:space="preserve">. Sued railway alleging fall caused by inadequate lighting. Defendant argued she was </w:t>
      </w:r>
      <w:proofErr w:type="gramStart"/>
      <w:r>
        <w:rPr>
          <w:sz w:val="24"/>
          <w:szCs w:val="24"/>
        </w:rPr>
        <w:t>fat</w:t>
      </w:r>
      <w:proofErr w:type="gramEnd"/>
      <w:r>
        <w:rPr>
          <w:sz w:val="24"/>
          <w:szCs w:val="24"/>
        </w:rPr>
        <w:t xml:space="preserve"> so she would’ve fallen regardless.</w:t>
      </w:r>
    </w:p>
    <w:p w14:paraId="04191E1D" w14:textId="77777777" w:rsidR="002871A5" w:rsidRDefault="002871A5" w:rsidP="002871A5">
      <w:pPr>
        <w:pStyle w:val="ListParagraph"/>
        <w:numPr>
          <w:ilvl w:val="1"/>
          <w:numId w:val="31"/>
        </w:numPr>
        <w:rPr>
          <w:sz w:val="24"/>
          <w:szCs w:val="24"/>
        </w:rPr>
      </w:pPr>
      <w:r>
        <w:rPr>
          <w:sz w:val="24"/>
          <w:szCs w:val="24"/>
        </w:rPr>
        <w:t xml:space="preserve">Held: </w:t>
      </w:r>
      <w:r w:rsidRPr="0033444D">
        <w:rPr>
          <w:sz w:val="24"/>
          <w:szCs w:val="24"/>
        </w:rPr>
        <w:t>“Where the negligence of the defendant greatly multiplies the chances of accident… and is of a character naturally leading to its occurrence, the mere possibility that it might have happened without the negligence is not sufficient to break the chain of cause and effect. [Courts, in such matters, consider the natural and ordinary course of events, and do not indulge in fanciful suppositions. The whole tendency of the evidence connects the accident with the injury.]”</w:t>
      </w:r>
    </w:p>
    <w:p w14:paraId="52A4F84E" w14:textId="77777777" w:rsidR="002871A5" w:rsidRDefault="002871A5" w:rsidP="002871A5">
      <w:pPr>
        <w:pStyle w:val="ListParagraph"/>
        <w:numPr>
          <w:ilvl w:val="1"/>
          <w:numId w:val="31"/>
        </w:numPr>
        <w:rPr>
          <w:sz w:val="24"/>
          <w:szCs w:val="24"/>
        </w:rPr>
      </w:pPr>
      <w:r>
        <w:rPr>
          <w:sz w:val="24"/>
          <w:szCs w:val="24"/>
        </w:rPr>
        <w:t xml:space="preserve">Use Mansfield’s maxim: what evidence could the plaintiff have given? </w:t>
      </w:r>
    </w:p>
    <w:p w14:paraId="1DD6BAE5" w14:textId="77777777" w:rsidR="002871A5" w:rsidRDefault="002871A5" w:rsidP="002871A5">
      <w:pPr>
        <w:pStyle w:val="ListParagraph"/>
        <w:numPr>
          <w:ilvl w:val="2"/>
          <w:numId w:val="31"/>
        </w:numPr>
        <w:rPr>
          <w:sz w:val="24"/>
          <w:szCs w:val="24"/>
        </w:rPr>
      </w:pPr>
      <w:r>
        <w:rPr>
          <w:sz w:val="24"/>
          <w:szCs w:val="24"/>
        </w:rPr>
        <w:t>Like McGhee, this is a situation where there is no distinction between a material contribution to the damage and a material contribution to the risk of damage. Either you fall or you don’t, and only risk factors can cause that fall.</w:t>
      </w:r>
    </w:p>
    <w:p w14:paraId="51CCA354" w14:textId="77777777" w:rsidR="002871A5" w:rsidRDefault="002871A5" w:rsidP="002871A5">
      <w:pPr>
        <w:pStyle w:val="ListParagraph"/>
        <w:numPr>
          <w:ilvl w:val="0"/>
          <w:numId w:val="31"/>
        </w:numPr>
        <w:rPr>
          <w:sz w:val="24"/>
          <w:szCs w:val="24"/>
        </w:rPr>
      </w:pPr>
      <w:r w:rsidRPr="003519A0">
        <w:rPr>
          <w:b/>
          <w:bCs/>
          <w:sz w:val="24"/>
          <w:szCs w:val="24"/>
        </w:rPr>
        <w:t>Another example</w:t>
      </w:r>
      <w:r>
        <w:rPr>
          <w:sz w:val="24"/>
          <w:szCs w:val="24"/>
        </w:rPr>
        <w:t xml:space="preserve"> of robust and pragmatic approach to but-for in </w:t>
      </w:r>
      <w:proofErr w:type="spellStart"/>
      <w:r>
        <w:rPr>
          <w:sz w:val="24"/>
          <w:szCs w:val="24"/>
        </w:rPr>
        <w:t>Zuchowicz</w:t>
      </w:r>
      <w:proofErr w:type="spellEnd"/>
      <w:r>
        <w:rPr>
          <w:sz w:val="24"/>
          <w:szCs w:val="24"/>
        </w:rPr>
        <w:t xml:space="preserve"> v United States, 2d Cir. 1998.</w:t>
      </w:r>
    </w:p>
    <w:p w14:paraId="32A2B9F0" w14:textId="77777777" w:rsidR="002871A5" w:rsidRPr="00807709" w:rsidRDefault="002871A5" w:rsidP="002871A5">
      <w:pPr>
        <w:pStyle w:val="ListParagraph"/>
        <w:numPr>
          <w:ilvl w:val="1"/>
          <w:numId w:val="31"/>
        </w:numPr>
        <w:rPr>
          <w:sz w:val="24"/>
          <w:szCs w:val="24"/>
        </w:rPr>
      </w:pPr>
      <w:r>
        <w:rPr>
          <w:sz w:val="24"/>
          <w:szCs w:val="24"/>
        </w:rPr>
        <w:t>Context: Old lady got prescribed double the dose of meds. She overdosed, then subsequently got sick and died. Sued the prescribing doctor.</w:t>
      </w:r>
    </w:p>
    <w:p w14:paraId="27C3FFA9" w14:textId="77777777" w:rsidR="002871A5" w:rsidRPr="002A536D" w:rsidRDefault="002871A5" w:rsidP="002871A5">
      <w:pPr>
        <w:pStyle w:val="ListParagraph"/>
        <w:numPr>
          <w:ilvl w:val="1"/>
          <w:numId w:val="31"/>
        </w:numPr>
        <w:rPr>
          <w:sz w:val="24"/>
          <w:szCs w:val="24"/>
        </w:rPr>
      </w:pPr>
      <w:r w:rsidRPr="00967483">
        <w:rPr>
          <w:sz w:val="24"/>
          <w:szCs w:val="24"/>
          <w:lang w:val="en-US"/>
        </w:rPr>
        <w:t xml:space="preserve">If a negligent act was deemed wrongful because that act increased the chances that a particular type of injury would occur, and an injury of that type did occur, then this is sufficient to support a finding that </w:t>
      </w:r>
      <w:proofErr w:type="gramStart"/>
      <w:r w:rsidRPr="00967483">
        <w:rPr>
          <w:sz w:val="24"/>
          <w:szCs w:val="24"/>
          <w:lang w:val="en-US"/>
        </w:rPr>
        <w:t>the negligence</w:t>
      </w:r>
      <w:proofErr w:type="gramEnd"/>
      <w:r w:rsidRPr="00967483">
        <w:rPr>
          <w:sz w:val="24"/>
          <w:szCs w:val="24"/>
          <w:lang w:val="en-US"/>
        </w:rPr>
        <w:t xml:space="preserve"> caused the injury.</w:t>
      </w:r>
    </w:p>
    <w:p w14:paraId="6C8378CD" w14:textId="77777777" w:rsidR="001756E2" w:rsidRPr="001756E2" w:rsidRDefault="002871A5" w:rsidP="001756E2">
      <w:pPr>
        <w:pStyle w:val="ListParagraph"/>
        <w:numPr>
          <w:ilvl w:val="1"/>
          <w:numId w:val="31"/>
        </w:numPr>
        <w:rPr>
          <w:sz w:val="24"/>
          <w:szCs w:val="24"/>
        </w:rPr>
      </w:pPr>
      <w:r w:rsidRPr="002A536D">
        <w:rPr>
          <w:sz w:val="24"/>
          <w:szCs w:val="24"/>
          <w:lang w:val="en-US"/>
        </w:rPr>
        <w:t xml:space="preserve">Where this is the case, the tactical burden is on the negligent party to prove that their negligence was neither a </w:t>
      </w:r>
      <w:proofErr w:type="spellStart"/>
      <w:r w:rsidRPr="002A536D">
        <w:rPr>
          <w:sz w:val="24"/>
          <w:szCs w:val="24"/>
          <w:lang w:val="en-US"/>
        </w:rPr>
        <w:t>but</w:t>
      </w:r>
      <w:proofErr w:type="spellEnd"/>
      <w:r w:rsidRPr="002A536D">
        <w:rPr>
          <w:sz w:val="24"/>
          <w:szCs w:val="24"/>
          <w:lang w:val="en-US"/>
        </w:rPr>
        <w:t>-for cause nor a materially contributing cause</w:t>
      </w:r>
      <w:r>
        <w:rPr>
          <w:sz w:val="24"/>
          <w:szCs w:val="24"/>
          <w:lang w:val="en-US"/>
        </w:rPr>
        <w:t xml:space="preserve"> of the injury</w:t>
      </w:r>
      <w:r w:rsidRPr="002A536D">
        <w:rPr>
          <w:sz w:val="24"/>
          <w:szCs w:val="24"/>
          <w:lang w:val="en-US"/>
        </w:rPr>
        <w:t>.</w:t>
      </w:r>
      <w:r>
        <w:rPr>
          <w:sz w:val="24"/>
          <w:szCs w:val="24"/>
          <w:lang w:val="en-US"/>
        </w:rPr>
        <w:t xml:space="preserve"> (material contribution to injury)</w:t>
      </w:r>
    </w:p>
    <w:p w14:paraId="4CAD69F4" w14:textId="286602BB" w:rsidR="002871A5" w:rsidRPr="0014780B" w:rsidRDefault="002871A5" w:rsidP="001756E2">
      <w:pPr>
        <w:pStyle w:val="ListParagraph"/>
        <w:numPr>
          <w:ilvl w:val="1"/>
          <w:numId w:val="31"/>
        </w:numPr>
        <w:rPr>
          <w:sz w:val="24"/>
          <w:szCs w:val="24"/>
        </w:rPr>
      </w:pPr>
      <w:r w:rsidRPr="001756E2">
        <w:rPr>
          <w:sz w:val="24"/>
          <w:szCs w:val="24"/>
          <w:lang w:val="en-US"/>
        </w:rPr>
        <w:t>Remember Mansfield’s Maxim. This is a medical malpractice case. The plaintiff can only give very little evidence while the defendant can give a lot of evidence. A little evidence from the plaintiff goes a long way.</w:t>
      </w:r>
    </w:p>
    <w:p w14:paraId="6661F114" w14:textId="62FC6300" w:rsidR="0014780B" w:rsidRDefault="0014780B" w:rsidP="0014780B">
      <w:pPr>
        <w:pStyle w:val="Heading2"/>
      </w:pPr>
      <w:r>
        <w:t>Material Con</w:t>
      </w:r>
      <w:r w:rsidR="000E7468">
        <w:t>tribution to Risk Test</w:t>
      </w:r>
      <w:r w:rsidR="006E28A4">
        <w:t xml:space="preserve"> from Clements</w:t>
      </w:r>
    </w:p>
    <w:p w14:paraId="25A7BA08" w14:textId="77777777" w:rsidR="006E28A4" w:rsidRDefault="006E28A4" w:rsidP="006E28A4">
      <w:pPr>
        <w:numPr>
          <w:ilvl w:val="0"/>
          <w:numId w:val="14"/>
        </w:numPr>
        <w:spacing w:line="240" w:lineRule="auto"/>
        <w:contextualSpacing/>
        <w:rPr>
          <w:rFonts w:eastAsia="Aptos" w:cs="Arial"/>
          <w:sz w:val="24"/>
          <w:szCs w:val="24"/>
        </w:rPr>
      </w:pPr>
      <w:r w:rsidRPr="00802739">
        <w:rPr>
          <w:rFonts w:eastAsia="Aptos" w:cs="Arial"/>
          <w:sz w:val="24"/>
          <w:szCs w:val="24"/>
        </w:rPr>
        <w:t xml:space="preserve">“Exceptionally, a plaintiff may succeed by showing that the defendant's conduct materially contributed to risk of the plaintiff's injury, </w:t>
      </w:r>
      <w:proofErr w:type="gramStart"/>
      <w:r w:rsidRPr="00802739">
        <w:rPr>
          <w:rFonts w:eastAsia="Aptos" w:cs="Arial"/>
          <w:sz w:val="24"/>
          <w:szCs w:val="24"/>
        </w:rPr>
        <w:t>where</w:t>
      </w:r>
      <w:proofErr w:type="gramEnd"/>
      <w:r w:rsidRPr="00802739">
        <w:rPr>
          <w:rFonts w:eastAsia="Aptos" w:cs="Arial"/>
          <w:sz w:val="24"/>
          <w:szCs w:val="24"/>
        </w:rPr>
        <w:t xml:space="preserve"> </w:t>
      </w:r>
    </w:p>
    <w:p w14:paraId="3EA06A6C" w14:textId="77777777" w:rsidR="006E28A4" w:rsidRDefault="006E28A4" w:rsidP="006E28A4">
      <w:pPr>
        <w:numPr>
          <w:ilvl w:val="1"/>
          <w:numId w:val="14"/>
        </w:numPr>
        <w:spacing w:line="240" w:lineRule="auto"/>
        <w:contextualSpacing/>
        <w:rPr>
          <w:rFonts w:eastAsia="Aptos" w:cs="Arial"/>
          <w:sz w:val="24"/>
          <w:szCs w:val="24"/>
        </w:rPr>
      </w:pPr>
      <w:r w:rsidRPr="00802739">
        <w:rPr>
          <w:rFonts w:eastAsia="Aptos" w:cs="Arial"/>
          <w:sz w:val="24"/>
          <w:szCs w:val="24"/>
        </w:rPr>
        <w:lastRenderedPageBreak/>
        <w:t xml:space="preserve">(a) the plaintiff has established that her loss would not have occurred “but for” the negligence of two or more tortfeasors, each possibly in fact responsible for the loss; and </w:t>
      </w:r>
    </w:p>
    <w:p w14:paraId="336B18B1" w14:textId="2C67C712" w:rsidR="00BC6743" w:rsidRPr="00CC54F2" w:rsidRDefault="00CC54F2" w:rsidP="00CC54F2">
      <w:pPr>
        <w:numPr>
          <w:ilvl w:val="2"/>
          <w:numId w:val="14"/>
        </w:numPr>
        <w:spacing w:line="240" w:lineRule="auto"/>
        <w:contextualSpacing/>
        <w:rPr>
          <w:rFonts w:eastAsia="Aptos" w:cs="Arial"/>
          <w:sz w:val="24"/>
          <w:szCs w:val="24"/>
        </w:rPr>
      </w:pPr>
      <w:r>
        <w:rPr>
          <w:rFonts w:eastAsia="Aptos" w:cs="Arial"/>
          <w:sz w:val="24"/>
          <w:szCs w:val="24"/>
          <w:lang w:val="en-US"/>
        </w:rPr>
        <w:t xml:space="preserve">MEANING: </w:t>
      </w:r>
      <w:r w:rsidRPr="00CC54F2">
        <w:rPr>
          <w:rFonts w:eastAsia="Aptos" w:cs="Arial"/>
          <w:sz w:val="24"/>
          <w:szCs w:val="24"/>
          <w:lang w:val="en-US"/>
        </w:rPr>
        <w:t xml:space="preserve">Before you can apply the material contribution to risk test you have to run a global </w:t>
      </w:r>
      <w:proofErr w:type="gramStart"/>
      <w:r w:rsidRPr="00CC54F2">
        <w:rPr>
          <w:rFonts w:eastAsia="Aptos" w:cs="Arial"/>
          <w:sz w:val="24"/>
          <w:szCs w:val="24"/>
          <w:lang w:val="en-US"/>
        </w:rPr>
        <w:t>but</w:t>
      </w:r>
      <w:proofErr w:type="gramEnd"/>
      <w:r w:rsidRPr="00CC54F2">
        <w:rPr>
          <w:rFonts w:eastAsia="Aptos" w:cs="Arial"/>
          <w:sz w:val="24"/>
          <w:szCs w:val="24"/>
          <w:lang w:val="en-US"/>
        </w:rPr>
        <w:t>-for test asking whether the injury would have occurred but-for the actions of all the tortfeasors taken together.</w:t>
      </w:r>
    </w:p>
    <w:p w14:paraId="436650C7" w14:textId="7511957A" w:rsidR="006E28A4" w:rsidRDefault="006E28A4" w:rsidP="006E28A4">
      <w:pPr>
        <w:numPr>
          <w:ilvl w:val="1"/>
          <w:numId w:val="14"/>
        </w:numPr>
        <w:spacing w:line="240" w:lineRule="auto"/>
        <w:contextualSpacing/>
        <w:rPr>
          <w:rFonts w:eastAsia="Aptos" w:cs="Arial"/>
          <w:sz w:val="24"/>
          <w:szCs w:val="24"/>
        </w:rPr>
      </w:pPr>
      <w:r w:rsidRPr="00802739">
        <w:rPr>
          <w:rFonts w:eastAsia="Aptos" w:cs="Arial"/>
          <w:sz w:val="24"/>
          <w:szCs w:val="24"/>
        </w:rPr>
        <w:t xml:space="preserve">(b) the plaintiff, through no fault of her own, is unable to show that any one of the possible tortfeasors in fact was the necessary or “but for” </w:t>
      </w:r>
      <w:proofErr w:type="gramStart"/>
      <w:r w:rsidRPr="00802739">
        <w:rPr>
          <w:rFonts w:eastAsia="Aptos" w:cs="Arial"/>
          <w:sz w:val="24"/>
          <w:szCs w:val="24"/>
        </w:rPr>
        <w:t>cause</w:t>
      </w:r>
      <w:proofErr w:type="gramEnd"/>
      <w:r w:rsidRPr="00802739">
        <w:rPr>
          <w:rFonts w:eastAsia="Aptos" w:cs="Arial"/>
          <w:sz w:val="24"/>
          <w:szCs w:val="24"/>
        </w:rPr>
        <w:t xml:space="preserve"> of her injury, defeating a finding of causation on a balance of probabilities against anyone.”</w:t>
      </w:r>
    </w:p>
    <w:p w14:paraId="5C8B39BF" w14:textId="18880511" w:rsidR="00E76BE2" w:rsidRDefault="00E76BE2" w:rsidP="00E76BE2">
      <w:pPr>
        <w:numPr>
          <w:ilvl w:val="0"/>
          <w:numId w:val="14"/>
        </w:numPr>
        <w:spacing w:line="240" w:lineRule="auto"/>
        <w:contextualSpacing/>
        <w:rPr>
          <w:rFonts w:eastAsia="Aptos" w:cs="Arial"/>
          <w:sz w:val="24"/>
          <w:szCs w:val="24"/>
        </w:rPr>
      </w:pPr>
      <w:r>
        <w:rPr>
          <w:rFonts w:eastAsia="Aptos" w:cs="Arial"/>
          <w:sz w:val="24"/>
          <w:szCs w:val="24"/>
        </w:rPr>
        <w:t xml:space="preserve">Note: </w:t>
      </w:r>
      <w:r w:rsidR="00DA32FE" w:rsidRPr="00DA32FE">
        <w:rPr>
          <w:rFonts w:eastAsia="Aptos" w:cs="Arial"/>
          <w:sz w:val="24"/>
          <w:szCs w:val="24"/>
        </w:rPr>
        <w:t>“material contribution” does not signify a test of causation at all; rather it is a policy-driven rule of law designed to permit plaintiffs to recover in such cases despite their failure to prove causation.</w:t>
      </w:r>
      <w:r w:rsidR="00DF5BD1">
        <w:rPr>
          <w:rFonts w:eastAsia="Aptos" w:cs="Arial"/>
          <w:sz w:val="24"/>
          <w:szCs w:val="24"/>
        </w:rPr>
        <w:t xml:space="preserve"> </w:t>
      </w:r>
      <w:r w:rsidR="00DF5BD1" w:rsidRPr="00DF5BD1">
        <w:rPr>
          <w:rFonts w:eastAsia="Aptos" w:cs="Arial"/>
          <w:sz w:val="24"/>
          <w:szCs w:val="24"/>
        </w:rPr>
        <w:t>That is because to deny liability would offend basic notions of fairness and justice</w:t>
      </w:r>
      <w:r w:rsidR="00DF5BD1">
        <w:rPr>
          <w:rFonts w:eastAsia="Aptos" w:cs="Arial"/>
          <w:sz w:val="24"/>
          <w:szCs w:val="24"/>
        </w:rPr>
        <w:t>. (Clements)</w:t>
      </w:r>
    </w:p>
    <w:p w14:paraId="32EF75E9" w14:textId="6C891CF4" w:rsidR="00CC54F2" w:rsidRDefault="00CC54F2" w:rsidP="00CC54F2">
      <w:pPr>
        <w:numPr>
          <w:ilvl w:val="0"/>
          <w:numId w:val="14"/>
        </w:numPr>
        <w:spacing w:line="240" w:lineRule="auto"/>
        <w:contextualSpacing/>
        <w:rPr>
          <w:rFonts w:eastAsia="Aptos" w:cs="Arial"/>
          <w:sz w:val="24"/>
          <w:szCs w:val="24"/>
        </w:rPr>
      </w:pPr>
      <w:r>
        <w:rPr>
          <w:rFonts w:eastAsia="Aptos" w:cs="Arial"/>
          <w:sz w:val="24"/>
          <w:szCs w:val="24"/>
        </w:rPr>
        <w:t>Example where this test could have been used: Cook v Lewis 1951 SCC</w:t>
      </w:r>
    </w:p>
    <w:p w14:paraId="6E62C0E5" w14:textId="77777777" w:rsidR="00CC54F2" w:rsidRPr="002B6139" w:rsidRDefault="00CC54F2" w:rsidP="00CC54F2">
      <w:pPr>
        <w:pStyle w:val="ListParagraph"/>
        <w:numPr>
          <w:ilvl w:val="1"/>
          <w:numId w:val="14"/>
        </w:numPr>
        <w:spacing w:line="240" w:lineRule="auto"/>
        <w:rPr>
          <w:bCs/>
          <w:sz w:val="24"/>
          <w:szCs w:val="24"/>
        </w:rPr>
      </w:pPr>
      <w:r w:rsidRPr="002B6139">
        <w:rPr>
          <w:sz w:val="24"/>
          <w:szCs w:val="24"/>
        </w:rPr>
        <w:t>Where a negligent person</w:t>
      </w:r>
      <w:r w:rsidRPr="002B6139">
        <w:rPr>
          <w:rFonts w:asciiTheme="minorHAnsi" w:hAnsiTheme="minorHAnsi"/>
          <w:bCs/>
          <w:sz w:val="24"/>
          <w:szCs w:val="24"/>
        </w:rPr>
        <w:t xml:space="preserve"> </w:t>
      </w:r>
      <w:r w:rsidRPr="002B6139">
        <w:rPr>
          <w:bCs/>
          <w:sz w:val="24"/>
          <w:szCs w:val="24"/>
        </w:rPr>
        <w:t>has created an unreasonable risk to the plaintiff and, in combination with circumstances he could reasonably foresee, has made it almost impossible for the plaintiff to prove that he, or another tortfeasor, is the (but-for) cause of the damage suffered, the burden of proof is reversed such that each tortfeasor must prove that they did not act wrongly. (Rand J in Cook 1951 SCC, Rand J</w:t>
      </w:r>
      <w:r>
        <w:rPr>
          <w:bCs/>
          <w:sz w:val="24"/>
          <w:szCs w:val="24"/>
        </w:rPr>
        <w:t>’s interpretation</w:t>
      </w:r>
      <w:r w:rsidRPr="002B6139">
        <w:rPr>
          <w:bCs/>
          <w:sz w:val="24"/>
          <w:szCs w:val="24"/>
        </w:rPr>
        <w:t xml:space="preserve"> affirmed in Clements 2012 SCC)</w:t>
      </w:r>
    </w:p>
    <w:p w14:paraId="5D8F00FC" w14:textId="77777777" w:rsidR="00CC54F2" w:rsidRPr="002B6139" w:rsidRDefault="00CC54F2" w:rsidP="00CC54F2">
      <w:pPr>
        <w:pStyle w:val="ListParagraph"/>
        <w:numPr>
          <w:ilvl w:val="2"/>
          <w:numId w:val="14"/>
        </w:numPr>
        <w:spacing w:line="240" w:lineRule="auto"/>
        <w:rPr>
          <w:bCs/>
          <w:sz w:val="24"/>
          <w:szCs w:val="24"/>
        </w:rPr>
      </w:pPr>
      <w:r w:rsidRPr="002B6139">
        <w:rPr>
          <w:bCs/>
          <w:sz w:val="24"/>
          <w:szCs w:val="24"/>
        </w:rPr>
        <w:t>Only applies to multiple tortfeasor scenarios. (Joseph Brant 1978 SCC)</w:t>
      </w:r>
    </w:p>
    <w:p w14:paraId="52259DAF" w14:textId="77777777" w:rsidR="00CC54F2" w:rsidRPr="002B6139" w:rsidRDefault="00CC54F2" w:rsidP="00CC54F2">
      <w:pPr>
        <w:pStyle w:val="ListParagraph"/>
        <w:numPr>
          <w:ilvl w:val="2"/>
          <w:numId w:val="14"/>
        </w:numPr>
        <w:spacing w:line="240" w:lineRule="auto"/>
        <w:rPr>
          <w:bCs/>
          <w:sz w:val="24"/>
          <w:szCs w:val="24"/>
        </w:rPr>
      </w:pPr>
      <w:r w:rsidRPr="002B6139">
        <w:rPr>
          <w:bCs/>
          <w:sz w:val="24"/>
          <w:szCs w:val="24"/>
        </w:rPr>
        <w:t>Justified by the fact that such a</w:t>
      </w:r>
      <w:r w:rsidRPr="002B6139">
        <w:rPr>
          <w:rFonts w:asciiTheme="minorHAnsi" w:eastAsiaTheme="minorEastAsia" w:hAnsiTheme="minorHAnsi"/>
          <w:bCs/>
          <w:kern w:val="0"/>
          <w:sz w:val="24"/>
          <w:szCs w:val="24"/>
          <w:lang w:eastAsia="ja-JP"/>
          <w14:ligatures w14:val="none"/>
        </w:rPr>
        <w:t xml:space="preserve"> </w:t>
      </w:r>
      <w:r w:rsidRPr="002B6139">
        <w:rPr>
          <w:bCs/>
          <w:sz w:val="24"/>
          <w:szCs w:val="24"/>
        </w:rPr>
        <w:t>tortfeasor has injured not only the victim’s right to bodily security, but the victim’s remedial right of establishing liability as well. (Cook)</w:t>
      </w:r>
    </w:p>
    <w:p w14:paraId="081F3020" w14:textId="77777777" w:rsidR="00CC54F2" w:rsidRPr="002B6139" w:rsidRDefault="00CC54F2" w:rsidP="00CC54F2">
      <w:pPr>
        <w:pStyle w:val="ListParagraph"/>
        <w:numPr>
          <w:ilvl w:val="2"/>
          <w:numId w:val="14"/>
        </w:numPr>
        <w:spacing w:line="240" w:lineRule="auto"/>
        <w:rPr>
          <w:bCs/>
          <w:sz w:val="24"/>
          <w:szCs w:val="24"/>
        </w:rPr>
      </w:pPr>
      <w:r w:rsidRPr="002B6139">
        <w:rPr>
          <w:bCs/>
          <w:sz w:val="24"/>
          <w:szCs w:val="24"/>
        </w:rPr>
        <w:t>Each of them is in the best position to prove their own innocence and thus establish who is at fault. (Cook)</w:t>
      </w:r>
    </w:p>
    <w:p w14:paraId="2F85DE2B" w14:textId="77777777" w:rsidR="00CC54F2" w:rsidRPr="001756E2" w:rsidRDefault="00CC54F2" w:rsidP="00CC54F2">
      <w:pPr>
        <w:pStyle w:val="ListParagraph"/>
        <w:numPr>
          <w:ilvl w:val="2"/>
          <w:numId w:val="14"/>
        </w:numPr>
        <w:spacing w:line="240" w:lineRule="auto"/>
        <w:rPr>
          <w:bCs/>
          <w:sz w:val="24"/>
          <w:szCs w:val="24"/>
        </w:rPr>
      </w:pPr>
      <w:r w:rsidRPr="002B6139">
        <w:rPr>
          <w:bCs/>
          <w:sz w:val="24"/>
          <w:szCs w:val="24"/>
        </w:rPr>
        <w:t>Only the culpable party pays damages. So, no subsequent lawsuit for apportionment, it all gets decided in the same trial. (Cook)</w:t>
      </w:r>
    </w:p>
    <w:p w14:paraId="2E3B7E5A" w14:textId="399473D5" w:rsidR="00744B35" w:rsidRDefault="00744B35" w:rsidP="00744B35">
      <w:pPr>
        <w:pStyle w:val="ListParagraph"/>
        <w:numPr>
          <w:ilvl w:val="0"/>
          <w:numId w:val="14"/>
        </w:numPr>
        <w:spacing w:line="240" w:lineRule="auto"/>
        <w:rPr>
          <w:sz w:val="24"/>
          <w:szCs w:val="24"/>
        </w:rPr>
      </w:pPr>
      <w:r>
        <w:rPr>
          <w:sz w:val="24"/>
          <w:szCs w:val="24"/>
        </w:rPr>
        <w:t xml:space="preserve">Another </w:t>
      </w:r>
      <w:r w:rsidRPr="00744B35">
        <w:rPr>
          <w:sz w:val="24"/>
          <w:szCs w:val="24"/>
        </w:rPr>
        <w:t>where this test could have been used</w:t>
      </w:r>
      <w:r>
        <w:rPr>
          <w:sz w:val="24"/>
          <w:szCs w:val="24"/>
        </w:rPr>
        <w:t xml:space="preserve">: </w:t>
      </w:r>
      <w:r w:rsidRPr="00744B35">
        <w:rPr>
          <w:sz w:val="24"/>
          <w:szCs w:val="24"/>
        </w:rPr>
        <w:t>Saunders 1929 Alabama SC</w:t>
      </w:r>
    </w:p>
    <w:p w14:paraId="3B6B0F1F" w14:textId="77777777" w:rsidR="00744B35" w:rsidRPr="002B6139" w:rsidRDefault="00744B35" w:rsidP="00744B35">
      <w:pPr>
        <w:pStyle w:val="ListParagraph"/>
        <w:numPr>
          <w:ilvl w:val="0"/>
          <w:numId w:val="14"/>
        </w:numPr>
        <w:spacing w:line="240" w:lineRule="auto"/>
        <w:rPr>
          <w:sz w:val="24"/>
          <w:szCs w:val="24"/>
        </w:rPr>
      </w:pPr>
      <w:r w:rsidRPr="002B6139">
        <w:rPr>
          <w:sz w:val="24"/>
          <w:szCs w:val="24"/>
        </w:rPr>
        <w:t>Where the negligence of both parties prevents either from being liable under the but-for test: (Saunders 1929 Alabama SC)</w:t>
      </w:r>
    </w:p>
    <w:p w14:paraId="152FFC98" w14:textId="77777777" w:rsidR="00744B35" w:rsidRPr="002B6139" w:rsidRDefault="00744B35" w:rsidP="00744B35">
      <w:pPr>
        <w:pStyle w:val="ListParagraph"/>
        <w:numPr>
          <w:ilvl w:val="1"/>
          <w:numId w:val="14"/>
        </w:numPr>
        <w:spacing w:line="240" w:lineRule="auto"/>
        <w:rPr>
          <w:sz w:val="24"/>
          <w:szCs w:val="24"/>
        </w:rPr>
      </w:pPr>
      <w:r w:rsidRPr="002B6139">
        <w:rPr>
          <w:sz w:val="24"/>
          <w:szCs w:val="24"/>
        </w:rPr>
        <w:t>A rented a car with defective breaks to B, B didn’t use the breaks until she was so close to C that she would have hit C had the breaks been in good condition.</w:t>
      </w:r>
    </w:p>
    <w:p w14:paraId="6CFA0F02" w14:textId="77777777" w:rsidR="00744B35" w:rsidRPr="002B6139" w:rsidRDefault="00744B35" w:rsidP="00744B35">
      <w:pPr>
        <w:pStyle w:val="ListParagraph"/>
        <w:numPr>
          <w:ilvl w:val="1"/>
          <w:numId w:val="14"/>
        </w:numPr>
        <w:spacing w:line="240" w:lineRule="auto"/>
        <w:rPr>
          <w:sz w:val="24"/>
          <w:szCs w:val="24"/>
        </w:rPr>
      </w:pPr>
      <w:r w:rsidRPr="002B6139">
        <w:rPr>
          <w:sz w:val="24"/>
          <w:szCs w:val="24"/>
        </w:rPr>
        <w:t xml:space="preserve">Essentially, B could not have been negligent because regardless of whether she applied the breaks at a reasonable time she would have hit C. </w:t>
      </w:r>
    </w:p>
    <w:p w14:paraId="501EBDFB" w14:textId="77777777" w:rsidR="00744B35" w:rsidRPr="002B6139" w:rsidRDefault="00744B35" w:rsidP="00744B35">
      <w:pPr>
        <w:pStyle w:val="ListParagraph"/>
        <w:numPr>
          <w:ilvl w:val="1"/>
          <w:numId w:val="14"/>
        </w:numPr>
        <w:spacing w:line="240" w:lineRule="auto"/>
        <w:rPr>
          <w:sz w:val="24"/>
          <w:szCs w:val="24"/>
        </w:rPr>
      </w:pPr>
      <w:r w:rsidRPr="002B6139">
        <w:rPr>
          <w:sz w:val="24"/>
          <w:szCs w:val="24"/>
        </w:rPr>
        <w:t>And A is not negligent because B did not apply the breaks as a reasonable person would have, so the condition of the breaks was causally irrelevant to the damage inflicted.</w:t>
      </w:r>
    </w:p>
    <w:p w14:paraId="281EB30D" w14:textId="0E21FFC7" w:rsidR="00CC54F2" w:rsidRPr="005A11FD" w:rsidRDefault="00744B35" w:rsidP="00CC54F2">
      <w:pPr>
        <w:pStyle w:val="ListParagraph"/>
        <w:numPr>
          <w:ilvl w:val="1"/>
          <w:numId w:val="14"/>
        </w:numPr>
        <w:spacing w:line="240" w:lineRule="auto"/>
        <w:rPr>
          <w:sz w:val="24"/>
          <w:szCs w:val="24"/>
        </w:rPr>
      </w:pPr>
      <w:r w:rsidRPr="002B6139">
        <w:rPr>
          <w:sz w:val="24"/>
          <w:szCs w:val="24"/>
        </w:rPr>
        <w:lastRenderedPageBreak/>
        <w:t>So, the result of this case is that neither party is liable</w:t>
      </w:r>
      <w:r w:rsidR="005A11FD">
        <w:rPr>
          <w:sz w:val="24"/>
          <w:szCs w:val="24"/>
        </w:rPr>
        <w:t xml:space="preserve"> using the standard but-for test.</w:t>
      </w:r>
    </w:p>
    <w:p w14:paraId="11EBC16F" w14:textId="77777777" w:rsidR="000E7468" w:rsidRPr="000E7468" w:rsidRDefault="000E7468" w:rsidP="000E7468"/>
    <w:p w14:paraId="4808F95E" w14:textId="26DCD448" w:rsidR="001229B6" w:rsidRPr="002B6139" w:rsidRDefault="001229B6" w:rsidP="001229B6">
      <w:pPr>
        <w:pStyle w:val="Heading1"/>
      </w:pPr>
      <w:r w:rsidRPr="002B6139">
        <w:t>Five: Legally Recognized Damage</w:t>
      </w:r>
    </w:p>
    <w:p w14:paraId="705F7BF9" w14:textId="7E981B17" w:rsidR="006734EC" w:rsidRPr="002B6139" w:rsidRDefault="006734EC" w:rsidP="006734EC">
      <w:pPr>
        <w:pStyle w:val="ListParagraph"/>
        <w:numPr>
          <w:ilvl w:val="0"/>
          <w:numId w:val="25"/>
        </w:numPr>
      </w:pPr>
      <w:r w:rsidRPr="002B6139">
        <w:t>Loss of chance</w:t>
      </w:r>
    </w:p>
    <w:p w14:paraId="34504022" w14:textId="459B74F0" w:rsidR="006734EC" w:rsidRPr="002B6139" w:rsidRDefault="004967AB" w:rsidP="006734EC">
      <w:pPr>
        <w:pStyle w:val="ListParagraph"/>
        <w:numPr>
          <w:ilvl w:val="1"/>
          <w:numId w:val="25"/>
        </w:numPr>
      </w:pPr>
      <w:r w:rsidRPr="002B6139">
        <w:t>You cannot sue for loss of chance unless you can prove that the opportunity would have created some concrete benefit that the plaintiff thereby lost due to the defendant’s negligence. That concrete benefit cannot itself be an opportunity. (Laferriere v Lawson 1991 SCC)</w:t>
      </w:r>
    </w:p>
    <w:p w14:paraId="06188A68" w14:textId="3DE0B633" w:rsidR="007F2A2C" w:rsidRPr="002B6139" w:rsidRDefault="007F2A2C" w:rsidP="007F2A2C">
      <w:pPr>
        <w:pStyle w:val="ListParagraph"/>
        <w:numPr>
          <w:ilvl w:val="0"/>
          <w:numId w:val="25"/>
        </w:numPr>
      </w:pPr>
      <w:r w:rsidRPr="002B6139">
        <w:t>Economic Loss</w:t>
      </w:r>
    </w:p>
    <w:p w14:paraId="41CB76CC" w14:textId="782023A1" w:rsidR="007F2A2C" w:rsidRDefault="00A70CF8" w:rsidP="007F2A2C">
      <w:pPr>
        <w:pStyle w:val="ListParagraph"/>
        <w:numPr>
          <w:ilvl w:val="1"/>
          <w:numId w:val="25"/>
        </w:numPr>
      </w:pPr>
      <w:r w:rsidRPr="002B6139">
        <w:t>Existing authority holds that plaintiffs can only sue in negligence for damages suffered because of a defendant’s act or omission which injures the plaintiff’s legal rights to their person or property. Absent such injury plaintiffs cannot sue for consequential losses, including pure economic losses. (Weller v Foot and Mouth Research Institute</w:t>
      </w:r>
      <w:r w:rsidR="00B07936" w:rsidRPr="002B6139">
        <w:t xml:space="preserve"> 1996 UK)</w:t>
      </w:r>
    </w:p>
    <w:p w14:paraId="0636AE90" w14:textId="664C3F25" w:rsidR="00060CFA" w:rsidRPr="002B6139" w:rsidRDefault="00060CFA" w:rsidP="007F2A2C">
      <w:pPr>
        <w:pStyle w:val="ListParagraph"/>
        <w:numPr>
          <w:ilvl w:val="1"/>
          <w:numId w:val="25"/>
        </w:numPr>
      </w:pPr>
      <w:r>
        <w:t>However, you can be liable for pure economics loss in some cases, typically where there is a special relationship between the parties.</w:t>
      </w:r>
    </w:p>
    <w:p w14:paraId="1ABD885E" w14:textId="15AE42F7" w:rsidR="001E3D34" w:rsidRPr="002B6139" w:rsidRDefault="001E3D34" w:rsidP="007F2A2C">
      <w:pPr>
        <w:pStyle w:val="ListParagraph"/>
        <w:numPr>
          <w:ilvl w:val="1"/>
          <w:numId w:val="25"/>
        </w:numPr>
      </w:pPr>
      <w:r w:rsidRPr="002B6139">
        <w:t>Barber Lines 1985 US Fed. Ct. – policy-based explanation for exclusion of liability for pure economic loss</w:t>
      </w:r>
    </w:p>
    <w:p w14:paraId="1BEED69A" w14:textId="77777777" w:rsidR="00E971DA" w:rsidRPr="002B6139" w:rsidRDefault="00E971DA" w:rsidP="00E971DA">
      <w:pPr>
        <w:pStyle w:val="ListParagraph"/>
        <w:numPr>
          <w:ilvl w:val="2"/>
          <w:numId w:val="25"/>
        </w:numPr>
      </w:pPr>
      <w:r w:rsidRPr="002B6139">
        <w:t>1) Administrability</w:t>
      </w:r>
    </w:p>
    <w:p w14:paraId="36382EBB" w14:textId="690D03FB" w:rsidR="00E971DA" w:rsidRPr="002B6139" w:rsidRDefault="00E971DA" w:rsidP="00E971DA">
      <w:pPr>
        <w:pStyle w:val="ListParagraph"/>
        <w:numPr>
          <w:ilvl w:val="3"/>
          <w:numId w:val="25"/>
        </w:numPr>
      </w:pPr>
      <w:r w:rsidRPr="002B6139">
        <w:t xml:space="preserve">Greatly increases the number of plaintiffs created by any tortious act. Unduly broadens the idea of </w:t>
      </w:r>
      <w:r w:rsidR="00352BFB" w:rsidRPr="002B6139">
        <w:t>foreseeability.</w:t>
      </w:r>
    </w:p>
    <w:p w14:paraId="24658CEF" w14:textId="4EBA5F7F" w:rsidR="00E971DA" w:rsidRPr="002B6139" w:rsidRDefault="00E971DA" w:rsidP="00E971DA">
      <w:pPr>
        <w:pStyle w:val="ListParagraph"/>
        <w:numPr>
          <w:ilvl w:val="3"/>
          <w:numId w:val="25"/>
        </w:numPr>
      </w:pPr>
      <w:r w:rsidRPr="002B6139">
        <w:t xml:space="preserve">Increasing the number of tort cases would increase the cost of tort cases. Would slow down the legal system, only make lawyers </w:t>
      </w:r>
      <w:r w:rsidR="00352BFB" w:rsidRPr="002B6139">
        <w:t>richer</w:t>
      </w:r>
      <w:r w:rsidRPr="002B6139">
        <w:t>. Would not help victims recover.</w:t>
      </w:r>
    </w:p>
    <w:p w14:paraId="7C50E7CE" w14:textId="6D2AA268" w:rsidR="001E3D34" w:rsidRPr="002B6139" w:rsidRDefault="00E971DA" w:rsidP="00E971DA">
      <w:pPr>
        <w:pStyle w:val="ListParagraph"/>
        <w:numPr>
          <w:ilvl w:val="3"/>
          <w:numId w:val="25"/>
        </w:numPr>
      </w:pPr>
      <w:r w:rsidRPr="002B6139">
        <w:t>Hard to distinguish compensable pure economic losses from non-compensable pure economic losses.</w:t>
      </w:r>
    </w:p>
    <w:p w14:paraId="7B037839" w14:textId="2C383A77" w:rsidR="00352BFB" w:rsidRPr="002B6139" w:rsidRDefault="00352BFB" w:rsidP="00352BFB">
      <w:pPr>
        <w:pStyle w:val="ListParagraph"/>
        <w:numPr>
          <w:ilvl w:val="2"/>
          <w:numId w:val="25"/>
        </w:numPr>
      </w:pPr>
      <w:r w:rsidRPr="002B6139">
        <w:t>2) Disproportionality</w:t>
      </w:r>
    </w:p>
    <w:p w14:paraId="0B2D3716" w14:textId="77777777" w:rsidR="001460B7" w:rsidRPr="002B6139" w:rsidRDefault="001460B7" w:rsidP="001460B7">
      <w:pPr>
        <w:pStyle w:val="ListParagraph"/>
        <w:numPr>
          <w:ilvl w:val="3"/>
          <w:numId w:val="25"/>
        </w:numPr>
      </w:pPr>
      <w:r w:rsidRPr="002B6139">
        <w:t>Creates perverse economic incentives. Raises insurance premiums.</w:t>
      </w:r>
    </w:p>
    <w:p w14:paraId="01831F9B" w14:textId="479A1856" w:rsidR="00352BFB" w:rsidRPr="002B6139" w:rsidRDefault="007139FA" w:rsidP="007139FA">
      <w:pPr>
        <w:pStyle w:val="ListParagraph"/>
        <w:numPr>
          <w:ilvl w:val="1"/>
          <w:numId w:val="25"/>
        </w:numPr>
      </w:pPr>
      <w:r w:rsidRPr="002B6139">
        <w:t>Benson, “The Basis for Excluding Liability for Economic Loss in Tort Law” – Rights Based Explanation for The Rule Excluding Liability for Economic Loss</w:t>
      </w:r>
    </w:p>
    <w:p w14:paraId="7B7AB575" w14:textId="77777777" w:rsidR="0038034D" w:rsidRPr="002B6139" w:rsidRDefault="0038034D" w:rsidP="0038034D">
      <w:pPr>
        <w:pStyle w:val="ListParagraph"/>
        <w:numPr>
          <w:ilvl w:val="2"/>
          <w:numId w:val="25"/>
        </w:numPr>
      </w:pPr>
      <w:r w:rsidRPr="002B6139">
        <w:t>“Financial loss that arises from physical damage to something which the plaintiff neither owns nor possesses is often referred to as “relational” economic loss. The rule precluding liability for relational economic loss is known as the “exclusionary rule.”</w:t>
      </w:r>
    </w:p>
    <w:p w14:paraId="29CA9131" w14:textId="0BF5B04F" w:rsidR="007139FA" w:rsidRPr="002B6139" w:rsidRDefault="00CC53B4" w:rsidP="00CC53B4">
      <w:pPr>
        <w:pStyle w:val="ListParagraph"/>
        <w:numPr>
          <w:ilvl w:val="2"/>
          <w:numId w:val="25"/>
        </w:numPr>
      </w:pPr>
      <w:r w:rsidRPr="002B6139">
        <w:t>The foundation of the exclusionary rule against liability for relational economic loss is that plaintiffs lack a right which the defendant can be said to have injured. No contractual, proprietary, possessory, or other right.</w:t>
      </w:r>
    </w:p>
    <w:p w14:paraId="308FC828" w14:textId="3BA23BD2" w:rsidR="00CC53B4" w:rsidRPr="002B6139" w:rsidRDefault="00CC53B4" w:rsidP="00CC53B4">
      <w:pPr>
        <w:pStyle w:val="ListParagraph"/>
        <w:numPr>
          <w:ilvl w:val="0"/>
          <w:numId w:val="25"/>
        </w:numPr>
      </w:pPr>
      <w:r w:rsidRPr="002B6139">
        <w:t>Mental Damage</w:t>
      </w:r>
    </w:p>
    <w:p w14:paraId="6C85AA8C" w14:textId="77777777" w:rsidR="00986EB8" w:rsidRPr="002B6139" w:rsidRDefault="00986EB8" w:rsidP="00986EB8">
      <w:pPr>
        <w:pStyle w:val="ListParagraph"/>
        <w:numPr>
          <w:ilvl w:val="1"/>
          <w:numId w:val="25"/>
        </w:numPr>
        <w:spacing w:line="240" w:lineRule="auto"/>
        <w:rPr>
          <w:b/>
          <w:bCs/>
          <w:sz w:val="24"/>
          <w:szCs w:val="24"/>
        </w:rPr>
      </w:pPr>
      <w:r w:rsidRPr="002B6139">
        <w:rPr>
          <w:b/>
          <w:bCs/>
          <w:sz w:val="24"/>
          <w:szCs w:val="24"/>
        </w:rPr>
        <w:t>Test for legally compensable mental damage:</w:t>
      </w:r>
    </w:p>
    <w:p w14:paraId="5EECAFB9" w14:textId="17AD032D" w:rsidR="00986EB8" w:rsidRPr="002B6139" w:rsidRDefault="00986EB8" w:rsidP="00986EB8">
      <w:pPr>
        <w:pStyle w:val="ListParagraph"/>
        <w:numPr>
          <w:ilvl w:val="2"/>
          <w:numId w:val="25"/>
        </w:numPr>
        <w:spacing w:line="240" w:lineRule="auto"/>
        <w:rPr>
          <w:sz w:val="24"/>
          <w:szCs w:val="24"/>
        </w:rPr>
      </w:pPr>
      <w:r w:rsidRPr="002B6139">
        <w:rPr>
          <w:sz w:val="24"/>
          <w:szCs w:val="24"/>
        </w:rPr>
        <w:lastRenderedPageBreak/>
        <w:t>Legally compensable mental damage must “be serious and prolonged and rise above the ordinary annoyances, anxieties, and fears that people living in society routinely… accept.”</w:t>
      </w:r>
      <w:r w:rsidR="00BB73EB" w:rsidRPr="002B6139">
        <w:rPr>
          <w:sz w:val="24"/>
          <w:szCs w:val="24"/>
        </w:rPr>
        <w:t xml:space="preserve"> (Mustapha 2008 SCC)</w:t>
      </w:r>
    </w:p>
    <w:p w14:paraId="391E3794" w14:textId="0224B158" w:rsidR="00986EB8" w:rsidRPr="002B6139" w:rsidRDefault="00986EB8" w:rsidP="00986EB8">
      <w:pPr>
        <w:pStyle w:val="ListParagraph"/>
        <w:numPr>
          <w:ilvl w:val="3"/>
          <w:numId w:val="25"/>
        </w:numPr>
        <w:rPr>
          <w:sz w:val="24"/>
          <w:szCs w:val="24"/>
        </w:rPr>
      </w:pPr>
      <w:r w:rsidRPr="002B6139">
        <w:rPr>
          <w:sz w:val="24"/>
          <w:szCs w:val="24"/>
        </w:rPr>
        <w:t xml:space="preserve">“Minor and transient upsets do not constitute personal </w:t>
      </w:r>
      <w:proofErr w:type="gramStart"/>
      <w:r w:rsidRPr="002B6139">
        <w:rPr>
          <w:i/>
          <w:iCs/>
          <w:sz w:val="24"/>
          <w:szCs w:val="24"/>
        </w:rPr>
        <w:t>injury</w:t>
      </w:r>
      <w:r w:rsidRPr="002B6139">
        <w:rPr>
          <w:sz w:val="24"/>
          <w:szCs w:val="24"/>
        </w:rPr>
        <w:t>, and</w:t>
      </w:r>
      <w:proofErr w:type="gramEnd"/>
      <w:r w:rsidRPr="002B6139">
        <w:rPr>
          <w:sz w:val="24"/>
          <w:szCs w:val="24"/>
        </w:rPr>
        <w:t xml:space="preserve"> hence do not amount to damage.”</w:t>
      </w:r>
      <w:r w:rsidR="00BB73EB" w:rsidRPr="002B6139">
        <w:rPr>
          <w:sz w:val="24"/>
          <w:szCs w:val="24"/>
        </w:rPr>
        <w:t xml:space="preserve"> (Mustapha)</w:t>
      </w:r>
    </w:p>
    <w:p w14:paraId="57470DC5" w14:textId="779CE60C" w:rsidR="00986EB8" w:rsidRPr="002B6139" w:rsidRDefault="00986EB8" w:rsidP="00986EB8">
      <w:pPr>
        <w:pStyle w:val="ListParagraph"/>
        <w:numPr>
          <w:ilvl w:val="1"/>
          <w:numId w:val="25"/>
        </w:numPr>
        <w:rPr>
          <w:b/>
          <w:bCs/>
          <w:sz w:val="24"/>
          <w:szCs w:val="24"/>
        </w:rPr>
      </w:pPr>
      <w:r w:rsidRPr="002B6139">
        <w:rPr>
          <w:b/>
          <w:bCs/>
          <w:sz w:val="24"/>
          <w:szCs w:val="24"/>
        </w:rPr>
        <w:t xml:space="preserve">General Rule: </w:t>
      </w:r>
      <w:r w:rsidRPr="002B6139">
        <w:rPr>
          <w:sz w:val="24"/>
          <w:szCs w:val="24"/>
        </w:rPr>
        <w:t>As part of either the duty or remoteness analyses, the plaintiff must prove that it is reasonably foreseeable that a mental injury would occur in a person of ordinary fortitude.</w:t>
      </w:r>
      <w:r w:rsidR="00BB73EB" w:rsidRPr="002B6139">
        <w:rPr>
          <w:sz w:val="24"/>
          <w:szCs w:val="24"/>
        </w:rPr>
        <w:t xml:space="preserve"> (Mustapha)</w:t>
      </w:r>
    </w:p>
    <w:p w14:paraId="5BE812B6" w14:textId="6B9E3786" w:rsidR="00986EB8" w:rsidRPr="002B6139" w:rsidRDefault="00986EB8" w:rsidP="00986EB8">
      <w:pPr>
        <w:pStyle w:val="ListParagraph"/>
        <w:numPr>
          <w:ilvl w:val="1"/>
          <w:numId w:val="25"/>
        </w:numPr>
        <w:rPr>
          <w:b/>
          <w:bCs/>
          <w:sz w:val="24"/>
          <w:szCs w:val="24"/>
        </w:rPr>
      </w:pPr>
      <w:r w:rsidRPr="002B6139">
        <w:rPr>
          <w:b/>
          <w:bCs/>
          <w:sz w:val="24"/>
          <w:szCs w:val="24"/>
        </w:rPr>
        <w:t xml:space="preserve">Exception: </w:t>
      </w:r>
      <w:r w:rsidRPr="002B6139">
        <w:rPr>
          <w:sz w:val="24"/>
          <w:szCs w:val="24"/>
        </w:rPr>
        <w:t>Where it is proved that the defendant had actual knowledge of the plaintiff’s particular sensitivities or vulnerabilities, the plaintiff’s injury may be reasonably foreseeable to the defendant even if it would not be reasonably foreseeable as occurring in a person of ordinary fortitude.</w:t>
      </w:r>
      <w:r w:rsidR="00BB73EB" w:rsidRPr="002B6139">
        <w:rPr>
          <w:sz w:val="24"/>
          <w:szCs w:val="24"/>
        </w:rPr>
        <w:t xml:space="preserve"> (Mustapha)</w:t>
      </w:r>
    </w:p>
    <w:p w14:paraId="2D1E4B74" w14:textId="54441270" w:rsidR="00CC53B4" w:rsidRPr="002B6139" w:rsidRDefault="00986EB8" w:rsidP="00986EB8">
      <w:pPr>
        <w:pStyle w:val="ListParagraph"/>
        <w:numPr>
          <w:ilvl w:val="2"/>
          <w:numId w:val="25"/>
        </w:numPr>
        <w:rPr>
          <w:sz w:val="24"/>
          <w:szCs w:val="24"/>
        </w:rPr>
      </w:pPr>
      <w:r w:rsidRPr="002B6139">
        <w:rPr>
          <w:b/>
          <w:bCs/>
          <w:sz w:val="24"/>
          <w:szCs w:val="24"/>
        </w:rPr>
        <w:t>Application of Thin Skull:</w:t>
      </w:r>
      <w:r w:rsidRPr="002B6139">
        <w:rPr>
          <w:sz w:val="24"/>
          <w:szCs w:val="24"/>
        </w:rPr>
        <w:t xml:space="preserve"> Once a plaintiff establishes the foreseeability of mental injury (type of damage) to a person of ordinary fortitude, the thin skulls rule applies to liability for the actual mental damages suffered by the plaintiff.</w:t>
      </w:r>
      <w:r w:rsidR="00BB73EB" w:rsidRPr="002B6139">
        <w:rPr>
          <w:sz w:val="24"/>
          <w:szCs w:val="24"/>
        </w:rPr>
        <w:t xml:space="preserve"> (Mustapha)</w:t>
      </w:r>
    </w:p>
    <w:p w14:paraId="0DDB21AB" w14:textId="38B3D1BE" w:rsidR="00BB73EB" w:rsidRPr="002B6139" w:rsidRDefault="00BB73EB" w:rsidP="00BB73EB">
      <w:pPr>
        <w:pStyle w:val="ListParagraph"/>
        <w:numPr>
          <w:ilvl w:val="1"/>
          <w:numId w:val="25"/>
        </w:numPr>
        <w:spacing w:line="240" w:lineRule="auto"/>
        <w:rPr>
          <w:sz w:val="24"/>
          <w:szCs w:val="24"/>
        </w:rPr>
      </w:pPr>
      <w:r w:rsidRPr="002B6139">
        <w:rPr>
          <w:sz w:val="24"/>
          <w:szCs w:val="24"/>
        </w:rPr>
        <w:t>Recovery for mental injury does not require proof of a recognizable psychiatric illness nor expert medical testimony. (Saadati 2017 SCC)</w:t>
      </w:r>
    </w:p>
    <w:p w14:paraId="2AA743DC" w14:textId="4A945AF9" w:rsidR="00BB73EB" w:rsidRPr="002B6139" w:rsidRDefault="00BB73EB" w:rsidP="00BB73EB">
      <w:pPr>
        <w:pStyle w:val="ListParagraph"/>
        <w:numPr>
          <w:ilvl w:val="2"/>
          <w:numId w:val="25"/>
        </w:numPr>
        <w:spacing w:line="240" w:lineRule="auto"/>
        <w:rPr>
          <w:sz w:val="24"/>
          <w:szCs w:val="24"/>
        </w:rPr>
      </w:pPr>
      <w:r w:rsidRPr="002B6139">
        <w:rPr>
          <w:sz w:val="24"/>
          <w:szCs w:val="24"/>
        </w:rPr>
        <w:t>Neither expert testimony generally, nor expert testimony showing that the damage constitutes a recognizable psychiatric disorder, are legally required. (Saadati)</w:t>
      </w:r>
    </w:p>
    <w:p w14:paraId="6DE3253D" w14:textId="3872DD92" w:rsidR="00BB73EB" w:rsidRPr="002B6139" w:rsidRDefault="00BB73EB" w:rsidP="00BB73EB">
      <w:pPr>
        <w:pStyle w:val="ListParagraph"/>
        <w:numPr>
          <w:ilvl w:val="2"/>
          <w:numId w:val="25"/>
        </w:numPr>
        <w:spacing w:line="240" w:lineRule="auto"/>
        <w:rPr>
          <w:sz w:val="24"/>
          <w:szCs w:val="24"/>
        </w:rPr>
      </w:pPr>
      <w:r w:rsidRPr="002B6139">
        <w:rPr>
          <w:sz w:val="24"/>
          <w:szCs w:val="24"/>
        </w:rPr>
        <w:t>However, they are evidentially helpful to the extent that they assist the plaintiff meet the burden of proof. (Saadati)</w:t>
      </w:r>
    </w:p>
    <w:p w14:paraId="505AEF34" w14:textId="40BEB2C9" w:rsidR="00F0705D" w:rsidRPr="002B6139" w:rsidRDefault="00F0705D" w:rsidP="00F0705D">
      <w:pPr>
        <w:pStyle w:val="ListParagraph"/>
        <w:numPr>
          <w:ilvl w:val="1"/>
          <w:numId w:val="25"/>
        </w:numPr>
        <w:rPr>
          <w:sz w:val="24"/>
          <w:szCs w:val="24"/>
        </w:rPr>
      </w:pPr>
      <w:r w:rsidRPr="002B6139">
        <w:rPr>
          <w:sz w:val="24"/>
          <w:szCs w:val="24"/>
        </w:rPr>
        <w:t>Canadian negligence law recognizes a common law duty to take reasonable care to avoid causing reasonably foreseeable mental injury. And as a corollary, there is a common law right to be free from negligent interference with mental health. (Saadati)</w:t>
      </w:r>
    </w:p>
    <w:p w14:paraId="3B7052F4" w14:textId="5094FAE5" w:rsidR="00F0705D" w:rsidRPr="002B6139" w:rsidRDefault="00F0705D" w:rsidP="00F0705D">
      <w:pPr>
        <w:pStyle w:val="ListParagraph"/>
        <w:numPr>
          <w:ilvl w:val="2"/>
          <w:numId w:val="25"/>
        </w:numPr>
        <w:rPr>
          <w:sz w:val="24"/>
          <w:szCs w:val="24"/>
        </w:rPr>
      </w:pPr>
      <w:r w:rsidRPr="002B6139">
        <w:rPr>
          <w:sz w:val="24"/>
          <w:szCs w:val="24"/>
        </w:rPr>
        <w:t>This right is a subset to your right against negligently caused physical injury. (Saadati)</w:t>
      </w:r>
    </w:p>
    <w:p w14:paraId="5A92FFDA" w14:textId="445DC947" w:rsidR="00F0705D" w:rsidRPr="002B6139" w:rsidRDefault="00F0705D" w:rsidP="00F0705D">
      <w:pPr>
        <w:pStyle w:val="ListParagraph"/>
        <w:numPr>
          <w:ilvl w:val="2"/>
          <w:numId w:val="25"/>
        </w:numPr>
        <w:rPr>
          <w:sz w:val="24"/>
          <w:szCs w:val="24"/>
        </w:rPr>
      </w:pPr>
      <w:r w:rsidRPr="002B6139">
        <w:rPr>
          <w:sz w:val="24"/>
          <w:szCs w:val="24"/>
        </w:rPr>
        <w:t>This right is not a right to happiness. High threshold. (Saadati)</w:t>
      </w:r>
    </w:p>
    <w:p w14:paraId="7ECE821A" w14:textId="26D8D8C3" w:rsidR="004E26C6" w:rsidRPr="002B6139" w:rsidRDefault="004E26C6" w:rsidP="004E26C6">
      <w:pPr>
        <w:pStyle w:val="ListParagraph"/>
        <w:numPr>
          <w:ilvl w:val="1"/>
          <w:numId w:val="25"/>
        </w:numPr>
        <w:rPr>
          <w:sz w:val="24"/>
          <w:szCs w:val="24"/>
        </w:rPr>
      </w:pPr>
      <w:r w:rsidRPr="002B6139">
        <w:rPr>
          <w:sz w:val="24"/>
          <w:szCs w:val="24"/>
        </w:rPr>
        <w:t>The remoteness inquiry must focus on whether the injury of a given type (mental injury) was reasonably foreseeable to the defendant rather than injury of a given species (a particular mental disorder). (Saadati)</w:t>
      </w:r>
    </w:p>
    <w:p w14:paraId="536224AB" w14:textId="3015653C" w:rsidR="004E26C6" w:rsidRPr="002B6139" w:rsidRDefault="004E26C6" w:rsidP="004E26C6">
      <w:pPr>
        <w:pStyle w:val="ListParagraph"/>
        <w:numPr>
          <w:ilvl w:val="2"/>
          <w:numId w:val="25"/>
        </w:numPr>
        <w:rPr>
          <w:sz w:val="24"/>
          <w:szCs w:val="24"/>
        </w:rPr>
      </w:pPr>
      <w:r w:rsidRPr="002B6139">
        <w:rPr>
          <w:sz w:val="24"/>
          <w:szCs w:val="24"/>
        </w:rPr>
        <w:t>The inquiry aims at the harm attached to the symptoms, not their medical classification. (Saadati)</w:t>
      </w:r>
    </w:p>
    <w:p w14:paraId="528B03C8" w14:textId="6AA121CF" w:rsidR="00F0705D" w:rsidRPr="002B6139" w:rsidRDefault="004E26C6" w:rsidP="004E26C6">
      <w:pPr>
        <w:pStyle w:val="ListParagraph"/>
        <w:numPr>
          <w:ilvl w:val="2"/>
          <w:numId w:val="25"/>
        </w:numPr>
        <w:rPr>
          <w:sz w:val="24"/>
          <w:szCs w:val="24"/>
        </w:rPr>
      </w:pPr>
      <w:r w:rsidRPr="002B6139">
        <w:rPr>
          <w:sz w:val="24"/>
          <w:szCs w:val="24"/>
        </w:rPr>
        <w:t xml:space="preserve">The plaintiff’s job is to establish the seriousness of the harm </w:t>
      </w:r>
      <w:proofErr w:type="gramStart"/>
      <w:r w:rsidRPr="002B6139">
        <w:rPr>
          <w:sz w:val="24"/>
          <w:szCs w:val="24"/>
        </w:rPr>
        <w:t>so as to</w:t>
      </w:r>
      <w:proofErr w:type="gramEnd"/>
      <w:r w:rsidRPr="002B6139">
        <w:rPr>
          <w:sz w:val="24"/>
          <w:szCs w:val="24"/>
        </w:rPr>
        <w:t xml:space="preserve"> satisfy the test for legally compensable mental damage. (Saadati)</w:t>
      </w:r>
    </w:p>
    <w:p w14:paraId="2C439A6C" w14:textId="19F70236" w:rsidR="001229B6" w:rsidRPr="002B6139" w:rsidRDefault="001229B6" w:rsidP="001229B6">
      <w:pPr>
        <w:pStyle w:val="Heading1"/>
      </w:pPr>
      <w:r w:rsidRPr="002B6139">
        <w:lastRenderedPageBreak/>
        <w:t>Six: Defences</w:t>
      </w:r>
    </w:p>
    <w:p w14:paraId="25A3A82E" w14:textId="036F2FFC" w:rsidR="00383CED" w:rsidRPr="002B6139" w:rsidRDefault="00383CED" w:rsidP="00383CED">
      <w:pPr>
        <w:pStyle w:val="Heading2"/>
      </w:pPr>
      <w:r w:rsidRPr="002B6139">
        <w:t>Contributory Negligence</w:t>
      </w:r>
    </w:p>
    <w:p w14:paraId="1065CCC9" w14:textId="1C31F9C9" w:rsidR="00A35D98" w:rsidRPr="002B6139" w:rsidRDefault="00A35D98" w:rsidP="00A35D98">
      <w:pPr>
        <w:pStyle w:val="ListParagraph"/>
        <w:numPr>
          <w:ilvl w:val="0"/>
          <w:numId w:val="27"/>
        </w:numPr>
        <w:spacing w:line="240" w:lineRule="auto"/>
        <w:rPr>
          <w:sz w:val="24"/>
          <w:szCs w:val="24"/>
        </w:rPr>
      </w:pPr>
      <w:r w:rsidRPr="002B6139">
        <w:rPr>
          <w:sz w:val="24"/>
          <w:szCs w:val="24"/>
        </w:rPr>
        <w:t>Lord Ellenborough CJ: “One person being in fault will not dispense with another using ordinary care for himself. Two things must concur to support this action, an obstruction in the road by the fault of the defendant, and no want of ordinary care to avoid it on the part of the plaintiff.” (Butterfield 1809 UKKB)</w:t>
      </w:r>
    </w:p>
    <w:p w14:paraId="58775452" w14:textId="440A2119" w:rsidR="007E7869" w:rsidRDefault="002B6139" w:rsidP="007E7869">
      <w:pPr>
        <w:pStyle w:val="ListParagraph"/>
        <w:numPr>
          <w:ilvl w:val="0"/>
          <w:numId w:val="27"/>
        </w:numPr>
        <w:spacing w:line="240" w:lineRule="auto"/>
        <w:rPr>
          <w:sz w:val="24"/>
          <w:szCs w:val="24"/>
        </w:rPr>
      </w:pPr>
      <w:r w:rsidRPr="002B6139">
        <w:rPr>
          <w:sz w:val="24"/>
          <w:szCs w:val="24"/>
        </w:rPr>
        <w:t>The defence of contributory negligence is not available where (a) both parties’ negligence contributed to the injury, (b) the defendant had a “last clear chance” to avoid causing the injury, and (c) the defendant failed to avoid causing the injury.</w:t>
      </w:r>
      <w:r>
        <w:rPr>
          <w:sz w:val="24"/>
          <w:szCs w:val="24"/>
        </w:rPr>
        <w:t xml:space="preserve"> (Davies 1842 UK)</w:t>
      </w:r>
    </w:p>
    <w:p w14:paraId="24DA3A7A" w14:textId="0CC25027" w:rsidR="007E7869" w:rsidRDefault="007E7869" w:rsidP="007E7869">
      <w:pPr>
        <w:pStyle w:val="ListParagraph"/>
        <w:numPr>
          <w:ilvl w:val="0"/>
          <w:numId w:val="27"/>
        </w:numPr>
        <w:spacing w:line="240" w:lineRule="auto"/>
        <w:rPr>
          <w:sz w:val="24"/>
          <w:szCs w:val="24"/>
        </w:rPr>
      </w:pPr>
      <w:r>
        <w:rPr>
          <w:sz w:val="24"/>
          <w:szCs w:val="24"/>
        </w:rPr>
        <w:t>The defence of contributory negligence asks not whether the plaintiff’s negligence contributed to the injury, but rather whether it contributed to the damage. (Froom 1975 UKCA (Denning))</w:t>
      </w:r>
    </w:p>
    <w:p w14:paraId="6E03DA4A" w14:textId="3DB77BA5" w:rsidR="007E7869" w:rsidRDefault="007E7869" w:rsidP="007E7869">
      <w:pPr>
        <w:pStyle w:val="ListParagraph"/>
        <w:numPr>
          <w:ilvl w:val="0"/>
          <w:numId w:val="27"/>
        </w:numPr>
        <w:spacing w:line="240" w:lineRule="auto"/>
        <w:rPr>
          <w:sz w:val="24"/>
          <w:szCs w:val="24"/>
        </w:rPr>
      </w:pPr>
      <w:r>
        <w:rPr>
          <w:sz w:val="24"/>
          <w:szCs w:val="24"/>
        </w:rPr>
        <w:t xml:space="preserve">Reasonable persons always wear their seatbelts when </w:t>
      </w:r>
      <w:r w:rsidR="0012792C">
        <w:rPr>
          <w:sz w:val="24"/>
          <w:szCs w:val="24"/>
        </w:rPr>
        <w:t xml:space="preserve">operating a motor vehicle. (Froom, affirmed by </w:t>
      </w:r>
      <w:proofErr w:type="spellStart"/>
      <w:r w:rsidR="0012792C">
        <w:rPr>
          <w:sz w:val="24"/>
          <w:szCs w:val="24"/>
        </w:rPr>
        <w:t>Galaske</w:t>
      </w:r>
      <w:proofErr w:type="spellEnd"/>
      <w:r w:rsidR="0012792C">
        <w:rPr>
          <w:sz w:val="24"/>
          <w:szCs w:val="24"/>
        </w:rPr>
        <w:t xml:space="preserve"> 1994 SCC)</w:t>
      </w:r>
    </w:p>
    <w:p w14:paraId="795D177B" w14:textId="3D76D687" w:rsidR="007D794F" w:rsidRDefault="007D794F" w:rsidP="007D794F">
      <w:pPr>
        <w:pStyle w:val="ListParagraph"/>
        <w:numPr>
          <w:ilvl w:val="1"/>
          <w:numId w:val="27"/>
        </w:numPr>
        <w:spacing w:line="240" w:lineRule="auto"/>
        <w:rPr>
          <w:sz w:val="24"/>
          <w:szCs w:val="24"/>
        </w:rPr>
      </w:pPr>
      <w:r>
        <w:rPr>
          <w:sz w:val="24"/>
          <w:szCs w:val="24"/>
        </w:rPr>
        <w:t>Canadian courts have consistently deducted between 5%-25% for contributory negligence for not wearing seatbelts. (</w:t>
      </w:r>
      <w:proofErr w:type="spellStart"/>
      <w:r>
        <w:rPr>
          <w:sz w:val="24"/>
          <w:szCs w:val="24"/>
        </w:rPr>
        <w:t>Galaske</w:t>
      </w:r>
      <w:proofErr w:type="spellEnd"/>
      <w:r>
        <w:rPr>
          <w:sz w:val="24"/>
          <w:szCs w:val="24"/>
        </w:rPr>
        <w:t>)</w:t>
      </w:r>
    </w:p>
    <w:p w14:paraId="035AB4E9" w14:textId="0EBAE84D" w:rsidR="007D794F" w:rsidRDefault="007D794F" w:rsidP="007D794F">
      <w:pPr>
        <w:pStyle w:val="ListParagraph"/>
        <w:numPr>
          <w:ilvl w:val="2"/>
          <w:numId w:val="27"/>
        </w:numPr>
        <w:spacing w:line="240" w:lineRule="auto"/>
        <w:rPr>
          <w:sz w:val="24"/>
          <w:szCs w:val="24"/>
        </w:rPr>
      </w:pPr>
      <w:r>
        <w:rPr>
          <w:sz w:val="24"/>
          <w:szCs w:val="24"/>
        </w:rPr>
        <w:t>However, this is only where it was demonstrated that the damage would have been reduced or not occurred if the belts had been worn. (</w:t>
      </w:r>
      <w:proofErr w:type="spellStart"/>
      <w:r>
        <w:rPr>
          <w:sz w:val="24"/>
          <w:szCs w:val="24"/>
        </w:rPr>
        <w:t>Galaske</w:t>
      </w:r>
      <w:proofErr w:type="spellEnd"/>
      <w:r>
        <w:rPr>
          <w:sz w:val="24"/>
          <w:szCs w:val="24"/>
        </w:rPr>
        <w:t>)</w:t>
      </w:r>
    </w:p>
    <w:p w14:paraId="7C649B96" w14:textId="695DBD82" w:rsidR="00AE5E64" w:rsidRPr="00AE5E64" w:rsidRDefault="00AE5E64" w:rsidP="00AE5E64">
      <w:pPr>
        <w:pStyle w:val="ListParagraph"/>
        <w:numPr>
          <w:ilvl w:val="0"/>
          <w:numId w:val="27"/>
        </w:numPr>
        <w:spacing w:line="240" w:lineRule="auto"/>
        <w:rPr>
          <w:sz w:val="24"/>
          <w:szCs w:val="24"/>
        </w:rPr>
      </w:pPr>
      <w:r>
        <w:rPr>
          <w:sz w:val="24"/>
          <w:szCs w:val="24"/>
        </w:rPr>
        <w:t xml:space="preserve">The operator of a vehicle, as the person in control of that vehicle, has a duty of care towards his passengers to take reasonable steps to provide for their safety. </w:t>
      </w:r>
      <w:r w:rsidRPr="00AE5E64">
        <w:rPr>
          <w:sz w:val="24"/>
          <w:szCs w:val="24"/>
        </w:rPr>
        <w:t>(</w:t>
      </w:r>
      <w:proofErr w:type="spellStart"/>
      <w:r w:rsidRPr="00AE5E64">
        <w:rPr>
          <w:sz w:val="24"/>
          <w:szCs w:val="24"/>
        </w:rPr>
        <w:t>Galaske</w:t>
      </w:r>
      <w:proofErr w:type="spellEnd"/>
      <w:r w:rsidRPr="00AE5E64">
        <w:rPr>
          <w:sz w:val="24"/>
          <w:szCs w:val="24"/>
        </w:rPr>
        <w:t>)</w:t>
      </w:r>
    </w:p>
    <w:p w14:paraId="3AB1C892" w14:textId="497AC50A" w:rsidR="00AE5E64" w:rsidRDefault="00AE5E64" w:rsidP="00AE5E64">
      <w:pPr>
        <w:pStyle w:val="ListParagraph"/>
        <w:numPr>
          <w:ilvl w:val="1"/>
          <w:numId w:val="27"/>
        </w:numPr>
        <w:spacing w:line="240" w:lineRule="auto"/>
        <w:rPr>
          <w:sz w:val="24"/>
          <w:szCs w:val="24"/>
        </w:rPr>
      </w:pPr>
      <w:r>
        <w:rPr>
          <w:sz w:val="24"/>
          <w:szCs w:val="24"/>
        </w:rPr>
        <w:t xml:space="preserve">This extends not merely to safe driving but to ensuring they wear their seat belts. </w:t>
      </w:r>
      <w:r w:rsidRPr="00AE5E64">
        <w:rPr>
          <w:sz w:val="24"/>
          <w:szCs w:val="24"/>
        </w:rPr>
        <w:t>(</w:t>
      </w:r>
      <w:proofErr w:type="spellStart"/>
      <w:r w:rsidRPr="00AE5E64">
        <w:rPr>
          <w:sz w:val="24"/>
          <w:szCs w:val="24"/>
        </w:rPr>
        <w:t>Galaske</w:t>
      </w:r>
      <w:proofErr w:type="spellEnd"/>
      <w:r w:rsidRPr="00AE5E64">
        <w:rPr>
          <w:sz w:val="24"/>
          <w:szCs w:val="24"/>
        </w:rPr>
        <w:t>)</w:t>
      </w:r>
    </w:p>
    <w:p w14:paraId="27E73A3B" w14:textId="6F177410" w:rsidR="00E601F1" w:rsidRDefault="00E601F1" w:rsidP="00E601F1">
      <w:pPr>
        <w:pStyle w:val="ListParagraph"/>
        <w:numPr>
          <w:ilvl w:val="2"/>
          <w:numId w:val="27"/>
        </w:numPr>
        <w:spacing w:line="240" w:lineRule="auto"/>
        <w:rPr>
          <w:sz w:val="24"/>
          <w:szCs w:val="24"/>
        </w:rPr>
      </w:pPr>
      <w:r>
        <w:rPr>
          <w:sz w:val="24"/>
          <w:szCs w:val="24"/>
        </w:rPr>
        <w:t>Duty typically imposed by statute in various provinces. (Klar)</w:t>
      </w:r>
    </w:p>
    <w:p w14:paraId="3B7644D9" w14:textId="5AB10FC3" w:rsidR="0012792C" w:rsidRDefault="00AE5E64" w:rsidP="00AE5E64">
      <w:pPr>
        <w:pStyle w:val="ListParagraph"/>
        <w:numPr>
          <w:ilvl w:val="1"/>
          <w:numId w:val="27"/>
        </w:numPr>
        <w:spacing w:line="240" w:lineRule="auto"/>
        <w:rPr>
          <w:sz w:val="24"/>
          <w:szCs w:val="24"/>
        </w:rPr>
      </w:pPr>
      <w:r>
        <w:rPr>
          <w:sz w:val="24"/>
          <w:szCs w:val="24"/>
        </w:rPr>
        <w:t xml:space="preserve">This duty is not negated by the presence of a parent because in such a case both driver and parent owe a duty of care to take reasonable steps to ensure the child’s safety. </w:t>
      </w:r>
      <w:r w:rsidRPr="00AE5E64">
        <w:rPr>
          <w:sz w:val="24"/>
          <w:szCs w:val="24"/>
        </w:rPr>
        <w:t>(</w:t>
      </w:r>
      <w:proofErr w:type="spellStart"/>
      <w:r w:rsidRPr="00AE5E64">
        <w:rPr>
          <w:sz w:val="24"/>
          <w:szCs w:val="24"/>
        </w:rPr>
        <w:t>Galaske</w:t>
      </w:r>
      <w:proofErr w:type="spellEnd"/>
      <w:r w:rsidRPr="00AE5E64">
        <w:rPr>
          <w:sz w:val="24"/>
          <w:szCs w:val="24"/>
        </w:rPr>
        <w:t>)</w:t>
      </w:r>
    </w:p>
    <w:p w14:paraId="5527657A" w14:textId="389E0F52" w:rsidR="0012792C" w:rsidRDefault="00AE5E64" w:rsidP="007E7869">
      <w:pPr>
        <w:pStyle w:val="ListParagraph"/>
        <w:numPr>
          <w:ilvl w:val="0"/>
          <w:numId w:val="27"/>
        </w:numPr>
        <w:spacing w:line="240" w:lineRule="auto"/>
        <w:rPr>
          <w:sz w:val="24"/>
          <w:szCs w:val="24"/>
        </w:rPr>
      </w:pPr>
      <w:r>
        <w:rPr>
          <w:sz w:val="24"/>
          <w:szCs w:val="24"/>
        </w:rPr>
        <w:t xml:space="preserve">Damage reduction for contributory negligence is a global damage reduction. (Froom, </w:t>
      </w:r>
      <w:proofErr w:type="spellStart"/>
      <w:r>
        <w:rPr>
          <w:sz w:val="24"/>
          <w:szCs w:val="24"/>
        </w:rPr>
        <w:t>Galaske</w:t>
      </w:r>
      <w:proofErr w:type="spellEnd"/>
      <w:r w:rsidR="00DA097D">
        <w:rPr>
          <w:sz w:val="24"/>
          <w:szCs w:val="24"/>
        </w:rPr>
        <w:t>)</w:t>
      </w:r>
      <w:r>
        <w:rPr>
          <w:sz w:val="24"/>
          <w:szCs w:val="24"/>
        </w:rPr>
        <w:t xml:space="preserve"> </w:t>
      </w:r>
    </w:p>
    <w:p w14:paraId="1C8C3CAC" w14:textId="703B0E4E" w:rsidR="00E00C34" w:rsidRDefault="00E00C34" w:rsidP="00E00C34">
      <w:pPr>
        <w:pStyle w:val="Heading3"/>
      </w:pPr>
      <w:r>
        <w:t>Note on Contributory Negligence and Special Relationships</w:t>
      </w:r>
      <w:r w:rsidR="000B51BE">
        <w:t xml:space="preserve"> (Grand Restaurants 1981 Ont. H. Ct. J.)</w:t>
      </w:r>
    </w:p>
    <w:p w14:paraId="6A41F877" w14:textId="77777777" w:rsidR="000B51BE" w:rsidRDefault="000B51BE" w:rsidP="000B51BE">
      <w:pPr>
        <w:pStyle w:val="ListParagraph"/>
        <w:numPr>
          <w:ilvl w:val="0"/>
          <w:numId w:val="34"/>
        </w:numPr>
        <w:spacing w:line="240" w:lineRule="auto"/>
        <w:rPr>
          <w:sz w:val="24"/>
          <w:szCs w:val="24"/>
        </w:rPr>
      </w:pPr>
      <w:r>
        <w:rPr>
          <w:sz w:val="24"/>
          <w:szCs w:val="24"/>
        </w:rPr>
        <w:t xml:space="preserve">There is a legal distinction between “reasonable reliance as a necessary prerequisite to ground liability, to constitute the cause of action under </w:t>
      </w:r>
      <w:r>
        <w:rPr>
          <w:i/>
          <w:iCs/>
          <w:sz w:val="24"/>
          <w:szCs w:val="24"/>
        </w:rPr>
        <w:t>Hedley Byrne</w:t>
      </w:r>
      <w:r>
        <w:rPr>
          <w:sz w:val="24"/>
          <w:szCs w:val="24"/>
        </w:rPr>
        <w:t>, supra, and reliance in the context of contributory negligence as simply a factor going to the extent of the damages suffered.”</w:t>
      </w:r>
    </w:p>
    <w:p w14:paraId="7DBC3073" w14:textId="7FE5CB1D" w:rsidR="00E00C34" w:rsidRPr="00E00C34" w:rsidRDefault="000B51BE" w:rsidP="000B51BE">
      <w:pPr>
        <w:pStyle w:val="ListParagraph"/>
        <w:numPr>
          <w:ilvl w:val="0"/>
          <w:numId w:val="34"/>
        </w:numPr>
      </w:pPr>
      <w:r>
        <w:rPr>
          <w:sz w:val="24"/>
          <w:szCs w:val="24"/>
        </w:rPr>
        <w:t xml:space="preserve">“In the case of fault that contributes to the damages suffered, reliance that is “unreasonable” simply goes to reducing damages otherwise recoverable by the plaintiff; it does not go to cancelling the </w:t>
      </w:r>
      <w:r>
        <w:rPr>
          <w:i/>
          <w:iCs/>
          <w:sz w:val="24"/>
          <w:szCs w:val="24"/>
        </w:rPr>
        <w:t xml:space="preserve">prima facie </w:t>
      </w:r>
      <w:r>
        <w:rPr>
          <w:sz w:val="24"/>
          <w:szCs w:val="24"/>
        </w:rPr>
        <w:t>liability of the defendant.”</w:t>
      </w:r>
    </w:p>
    <w:p w14:paraId="548FE864" w14:textId="0F69A236" w:rsidR="00383CED" w:rsidRDefault="00383CED" w:rsidP="00383CED">
      <w:pPr>
        <w:pStyle w:val="Heading2"/>
      </w:pPr>
      <w:r w:rsidRPr="002B6139">
        <w:lastRenderedPageBreak/>
        <w:t>Voluntary Assumption of Risk</w:t>
      </w:r>
    </w:p>
    <w:p w14:paraId="53E9F58C" w14:textId="45C60953" w:rsidR="003D172D" w:rsidRPr="003D172D" w:rsidRDefault="003D172D" w:rsidP="003D172D">
      <w:pPr>
        <w:numPr>
          <w:ilvl w:val="0"/>
          <w:numId w:val="14"/>
        </w:numPr>
        <w:spacing w:line="240" w:lineRule="auto"/>
        <w:contextualSpacing/>
        <w:rPr>
          <w:rFonts w:eastAsia="Aptos" w:cs="Arial"/>
          <w:sz w:val="24"/>
          <w:szCs w:val="24"/>
        </w:rPr>
      </w:pPr>
      <w:r w:rsidRPr="003D172D">
        <w:rPr>
          <w:rFonts w:eastAsia="Aptos" w:cs="Arial"/>
          <w:sz w:val="24"/>
          <w:szCs w:val="24"/>
        </w:rPr>
        <w:t>The defence of voluntary assumption of risk will only arise where the defendant proves on a balance of probabilities that:</w:t>
      </w:r>
      <w:r>
        <w:rPr>
          <w:rFonts w:eastAsia="Aptos" w:cs="Arial"/>
          <w:sz w:val="24"/>
          <w:szCs w:val="24"/>
        </w:rPr>
        <w:t xml:space="preserve"> (Dube1986 SCC)</w:t>
      </w:r>
    </w:p>
    <w:p w14:paraId="517DEF19" w14:textId="7750A044" w:rsidR="003D172D" w:rsidRPr="003D172D" w:rsidRDefault="003D172D" w:rsidP="003D172D">
      <w:pPr>
        <w:numPr>
          <w:ilvl w:val="1"/>
          <w:numId w:val="14"/>
        </w:numPr>
        <w:spacing w:line="240" w:lineRule="auto"/>
        <w:contextualSpacing/>
        <w:rPr>
          <w:rFonts w:eastAsia="Aptos" w:cs="Arial"/>
          <w:sz w:val="24"/>
          <w:szCs w:val="24"/>
        </w:rPr>
      </w:pPr>
      <w:r w:rsidRPr="003D172D">
        <w:rPr>
          <w:rFonts w:eastAsia="Aptos" w:cs="Arial"/>
          <w:sz w:val="24"/>
          <w:szCs w:val="24"/>
        </w:rPr>
        <w:t>(1) the plaintiff knew that there was a virtually certain risk of damage arising from the defendant’s activity or undertaking and accepted that risk by engaging in that activity or undertaking.</w:t>
      </w:r>
      <w:r>
        <w:rPr>
          <w:rFonts w:eastAsia="Aptos" w:cs="Arial"/>
          <w:sz w:val="24"/>
          <w:szCs w:val="24"/>
        </w:rPr>
        <w:t xml:space="preserve"> (Dube)</w:t>
      </w:r>
    </w:p>
    <w:p w14:paraId="674A79DB" w14:textId="41835CA6" w:rsidR="003D172D" w:rsidRPr="003D172D" w:rsidRDefault="003D172D" w:rsidP="003D172D">
      <w:pPr>
        <w:numPr>
          <w:ilvl w:val="1"/>
          <w:numId w:val="14"/>
        </w:numPr>
        <w:spacing w:line="240" w:lineRule="auto"/>
        <w:contextualSpacing/>
        <w:rPr>
          <w:rFonts w:eastAsia="Aptos" w:cs="Arial"/>
          <w:sz w:val="24"/>
          <w:szCs w:val="24"/>
        </w:rPr>
      </w:pPr>
      <w:r w:rsidRPr="003D172D">
        <w:rPr>
          <w:rFonts w:eastAsia="Aptos" w:cs="Arial"/>
          <w:sz w:val="24"/>
          <w:szCs w:val="24"/>
        </w:rPr>
        <w:t xml:space="preserve">(2) </w:t>
      </w:r>
      <w:r w:rsidRPr="003D172D">
        <w:rPr>
          <w:rFonts w:eastAsia="Aptos" w:cs="Arial"/>
          <w:sz w:val="24"/>
          <w:szCs w:val="24"/>
          <w:lang w:val="en-US"/>
        </w:rPr>
        <w:t>There was a bilateral agreement whereby the plaintiff waived his right to sue for injuries caused by any negligence on the defendant’s part, thereby accepting the risk of damage without compensation, in exchange for the ability to engage in the defendant’s activity or undertaking.</w:t>
      </w:r>
      <w:r>
        <w:rPr>
          <w:rFonts w:eastAsia="Aptos" w:cs="Arial"/>
          <w:sz w:val="24"/>
          <w:szCs w:val="24"/>
          <w:lang w:val="en-US"/>
        </w:rPr>
        <w:t xml:space="preserve"> </w:t>
      </w:r>
      <w:r w:rsidRPr="003D172D">
        <w:rPr>
          <w:rFonts w:eastAsia="Aptos" w:cs="Arial"/>
          <w:sz w:val="24"/>
          <w:szCs w:val="24"/>
        </w:rPr>
        <w:t>(Dube)</w:t>
      </w:r>
    </w:p>
    <w:p w14:paraId="2F31B65A" w14:textId="5BC01AE9" w:rsidR="003D172D" w:rsidRDefault="003D172D" w:rsidP="003D172D">
      <w:pPr>
        <w:numPr>
          <w:ilvl w:val="2"/>
          <w:numId w:val="14"/>
        </w:numPr>
        <w:spacing w:line="240" w:lineRule="auto"/>
        <w:contextualSpacing/>
        <w:rPr>
          <w:rFonts w:eastAsia="Aptos" w:cs="Arial"/>
          <w:sz w:val="24"/>
          <w:szCs w:val="24"/>
        </w:rPr>
      </w:pPr>
      <w:r w:rsidRPr="003D172D">
        <w:rPr>
          <w:rFonts w:eastAsia="Aptos" w:cs="Arial"/>
          <w:sz w:val="24"/>
          <w:szCs w:val="24"/>
        </w:rPr>
        <w:t>Such an agreement can exist only where it can be objectively inferred, from the express conduct of the parties or from the necessary implications of their conduct in the circumstances, that each party understood that the defendant assumed no duty of care towards the plaintiff and that the plaintiff did not expect the defendant to assume a duty of care towards the plaintiff. (Dube)</w:t>
      </w:r>
    </w:p>
    <w:p w14:paraId="2912B610" w14:textId="71FF95BA" w:rsidR="00AE5FED" w:rsidRPr="003D172D" w:rsidRDefault="00AE5FED" w:rsidP="003D172D">
      <w:pPr>
        <w:numPr>
          <w:ilvl w:val="2"/>
          <w:numId w:val="14"/>
        </w:numPr>
        <w:spacing w:line="240" w:lineRule="auto"/>
        <w:contextualSpacing/>
        <w:rPr>
          <w:rFonts w:eastAsia="Aptos" w:cs="Arial"/>
          <w:sz w:val="24"/>
          <w:szCs w:val="24"/>
        </w:rPr>
      </w:pPr>
      <w:r w:rsidRPr="00AE5FED">
        <w:rPr>
          <w:rFonts w:eastAsia="Aptos" w:cs="Arial"/>
          <w:sz w:val="24"/>
          <w:szCs w:val="24"/>
          <w:lang w:val="en-US"/>
        </w:rPr>
        <w:t xml:space="preserve">Wilson J: The </w:t>
      </w:r>
      <w:proofErr w:type="spellStart"/>
      <w:r w:rsidRPr="00AE5FED">
        <w:rPr>
          <w:rFonts w:eastAsia="Aptos" w:cs="Arial"/>
          <w:sz w:val="24"/>
          <w:szCs w:val="24"/>
          <w:lang w:val="en-US"/>
        </w:rPr>
        <w:t>defence</w:t>
      </w:r>
      <w:proofErr w:type="spellEnd"/>
      <w:r w:rsidRPr="00AE5FED">
        <w:rPr>
          <w:rFonts w:eastAsia="Aptos" w:cs="Arial"/>
          <w:sz w:val="24"/>
          <w:szCs w:val="24"/>
          <w:lang w:val="en-US"/>
        </w:rPr>
        <w:t xml:space="preserve"> of voluntary assumption of risk applies only “where the plaintiff has assumed both the physical and the legal risk involved in the activity.”</w:t>
      </w:r>
      <w:r>
        <w:rPr>
          <w:rFonts w:eastAsia="Aptos" w:cs="Arial"/>
          <w:sz w:val="24"/>
          <w:szCs w:val="24"/>
          <w:lang w:val="en-US"/>
        </w:rPr>
        <w:t xml:space="preserve"> (Crocker 1988 SCC)</w:t>
      </w:r>
    </w:p>
    <w:p w14:paraId="212D74D6" w14:textId="1B61F7FE" w:rsidR="003D172D" w:rsidRPr="003D172D" w:rsidRDefault="003D172D" w:rsidP="003D172D">
      <w:pPr>
        <w:numPr>
          <w:ilvl w:val="1"/>
          <w:numId w:val="14"/>
        </w:numPr>
        <w:spacing w:line="240" w:lineRule="auto"/>
        <w:contextualSpacing/>
        <w:rPr>
          <w:rFonts w:eastAsia="Aptos" w:cs="Arial"/>
          <w:sz w:val="24"/>
          <w:szCs w:val="24"/>
        </w:rPr>
      </w:pPr>
      <w:r w:rsidRPr="003D172D">
        <w:rPr>
          <w:rFonts w:eastAsia="Aptos" w:cs="Arial"/>
          <w:sz w:val="24"/>
          <w:szCs w:val="24"/>
        </w:rPr>
        <w:t>Note: all this contract law language is metaphorical, it does not describe an actual contractual agreement, though there could be a contract to this effect.</w:t>
      </w:r>
      <w:r>
        <w:rPr>
          <w:rFonts w:eastAsia="Aptos" w:cs="Arial"/>
          <w:sz w:val="24"/>
          <w:szCs w:val="24"/>
        </w:rPr>
        <w:t xml:space="preserve"> </w:t>
      </w:r>
      <w:r w:rsidRPr="003D172D">
        <w:rPr>
          <w:rFonts w:eastAsia="Aptos" w:cs="Arial"/>
          <w:sz w:val="24"/>
          <w:szCs w:val="24"/>
        </w:rPr>
        <w:t>(Dube)</w:t>
      </w:r>
    </w:p>
    <w:p w14:paraId="67E7FCEC" w14:textId="3EB8A3A5" w:rsidR="003D172D" w:rsidRPr="003D172D" w:rsidRDefault="003D172D" w:rsidP="003D172D">
      <w:pPr>
        <w:numPr>
          <w:ilvl w:val="0"/>
          <w:numId w:val="14"/>
        </w:numPr>
        <w:spacing w:line="240" w:lineRule="auto"/>
        <w:contextualSpacing/>
        <w:rPr>
          <w:rFonts w:eastAsia="Aptos" w:cs="Arial"/>
          <w:sz w:val="24"/>
          <w:szCs w:val="24"/>
        </w:rPr>
      </w:pPr>
      <w:r w:rsidRPr="003D172D">
        <w:rPr>
          <w:rFonts w:eastAsia="Aptos" w:cs="Arial"/>
          <w:sz w:val="24"/>
          <w:szCs w:val="24"/>
        </w:rPr>
        <w:t>Where the defence is successful it is a relieves the defendant of all liability.</w:t>
      </w:r>
      <w:r>
        <w:rPr>
          <w:rFonts w:eastAsia="Aptos" w:cs="Arial"/>
          <w:sz w:val="24"/>
          <w:szCs w:val="24"/>
        </w:rPr>
        <w:t xml:space="preserve"> </w:t>
      </w:r>
      <w:r w:rsidRPr="003D172D">
        <w:rPr>
          <w:rFonts w:eastAsia="Aptos" w:cs="Arial"/>
          <w:sz w:val="24"/>
          <w:szCs w:val="24"/>
        </w:rPr>
        <w:t>(Dube)</w:t>
      </w:r>
    </w:p>
    <w:p w14:paraId="364CC578" w14:textId="741AA9D8" w:rsidR="003D172D" w:rsidRDefault="003D172D" w:rsidP="003D172D">
      <w:pPr>
        <w:numPr>
          <w:ilvl w:val="0"/>
          <w:numId w:val="14"/>
        </w:numPr>
        <w:spacing w:line="240" w:lineRule="auto"/>
        <w:contextualSpacing/>
        <w:rPr>
          <w:rFonts w:eastAsia="Aptos" w:cs="Arial"/>
          <w:sz w:val="24"/>
          <w:szCs w:val="24"/>
        </w:rPr>
      </w:pPr>
      <w:r w:rsidRPr="003D172D">
        <w:rPr>
          <w:rFonts w:eastAsia="Aptos" w:cs="Arial"/>
          <w:sz w:val="24"/>
          <w:szCs w:val="24"/>
        </w:rPr>
        <w:t>This defence almost never works because almost nobody can be said to have consented to be subject to a near certain risk of harm with no possibility of legal remedy.</w:t>
      </w:r>
      <w:r>
        <w:rPr>
          <w:rFonts w:eastAsia="Aptos" w:cs="Arial"/>
          <w:sz w:val="24"/>
          <w:szCs w:val="24"/>
        </w:rPr>
        <w:t xml:space="preserve"> </w:t>
      </w:r>
      <w:r w:rsidRPr="003D172D">
        <w:rPr>
          <w:rFonts w:eastAsia="Aptos" w:cs="Arial"/>
          <w:sz w:val="24"/>
          <w:szCs w:val="24"/>
        </w:rPr>
        <w:t>(Dube)</w:t>
      </w:r>
    </w:p>
    <w:p w14:paraId="2CE522DF" w14:textId="5A173CDE" w:rsidR="00EE61CC" w:rsidRPr="003D172D" w:rsidRDefault="003D172D" w:rsidP="003D172D">
      <w:pPr>
        <w:numPr>
          <w:ilvl w:val="1"/>
          <w:numId w:val="14"/>
        </w:numPr>
        <w:spacing w:line="240" w:lineRule="auto"/>
        <w:contextualSpacing/>
        <w:rPr>
          <w:rFonts w:eastAsia="Aptos" w:cs="Arial"/>
          <w:sz w:val="24"/>
          <w:szCs w:val="24"/>
        </w:rPr>
      </w:pPr>
      <w:r w:rsidRPr="003D172D">
        <w:rPr>
          <w:rFonts w:eastAsia="MS Mincho" w:cs="Arial"/>
          <w:kern w:val="0"/>
          <w:sz w:val="24"/>
          <w:szCs w:val="24"/>
          <w:lang w:val="en-US" w:eastAsia="ja-JP"/>
          <w14:ligatures w14:val="none"/>
        </w:rPr>
        <w:t>This is because few people are so aware of the circumstances and the consequences of action that they can be said to have waived their right to legal right to compensation for legal injury.</w:t>
      </w:r>
      <w:r>
        <w:rPr>
          <w:rFonts w:eastAsia="MS Mincho" w:cs="Arial"/>
          <w:kern w:val="0"/>
          <w:sz w:val="24"/>
          <w:szCs w:val="24"/>
          <w:lang w:val="en-US" w:eastAsia="ja-JP"/>
          <w14:ligatures w14:val="none"/>
        </w:rPr>
        <w:t xml:space="preserve"> </w:t>
      </w:r>
      <w:r w:rsidRPr="003D172D">
        <w:rPr>
          <w:rFonts w:eastAsia="MS Mincho" w:cs="Arial"/>
          <w:kern w:val="0"/>
          <w:sz w:val="24"/>
          <w:szCs w:val="24"/>
          <w:lang w:eastAsia="ja-JP"/>
          <w14:ligatures w14:val="none"/>
        </w:rPr>
        <w:t>(Dube)</w:t>
      </w:r>
    </w:p>
    <w:p w14:paraId="6C3FC816" w14:textId="2308F0DC" w:rsidR="003D172D" w:rsidRDefault="00205E27" w:rsidP="003D172D">
      <w:pPr>
        <w:numPr>
          <w:ilvl w:val="0"/>
          <w:numId w:val="14"/>
        </w:numPr>
        <w:spacing w:line="240" w:lineRule="auto"/>
        <w:contextualSpacing/>
        <w:rPr>
          <w:rFonts w:eastAsia="Aptos" w:cs="Arial"/>
          <w:sz w:val="24"/>
          <w:szCs w:val="24"/>
        </w:rPr>
      </w:pPr>
      <w:r>
        <w:rPr>
          <w:rFonts w:eastAsia="Aptos" w:cs="Arial"/>
          <w:sz w:val="24"/>
          <w:szCs w:val="24"/>
        </w:rPr>
        <w:t>Two cases where it did succeed:</w:t>
      </w:r>
    </w:p>
    <w:p w14:paraId="24286837" w14:textId="44778AA2" w:rsidR="002B5465" w:rsidRDefault="002B5465" w:rsidP="002B5465">
      <w:pPr>
        <w:pStyle w:val="Heading3"/>
        <w:rPr>
          <w:rFonts w:eastAsia="Aptos"/>
        </w:rPr>
      </w:pPr>
      <w:r>
        <w:rPr>
          <w:rFonts w:eastAsia="Aptos"/>
        </w:rPr>
        <w:t>Priestley v Gilbert, 1973 ONCA</w:t>
      </w:r>
    </w:p>
    <w:tbl>
      <w:tblPr>
        <w:tblStyle w:val="TableGrid5"/>
        <w:tblW w:w="0" w:type="auto"/>
        <w:tblLook w:val="04A0" w:firstRow="1" w:lastRow="0" w:firstColumn="1" w:lastColumn="0" w:noHBand="0" w:noVBand="1"/>
      </w:tblPr>
      <w:tblGrid>
        <w:gridCol w:w="9350"/>
      </w:tblGrid>
      <w:tr w:rsidR="002B5465" w:rsidRPr="002B5465" w14:paraId="58C7BCA3" w14:textId="77777777" w:rsidTr="0028270E">
        <w:tc>
          <w:tcPr>
            <w:tcW w:w="9350" w:type="dxa"/>
          </w:tcPr>
          <w:p w14:paraId="7246FBB9" w14:textId="77777777" w:rsidR="002B5465" w:rsidRPr="002B5465" w:rsidRDefault="002B5465" w:rsidP="002B5465">
            <w:pPr>
              <w:rPr>
                <w:rFonts w:cs="Arial"/>
              </w:rPr>
            </w:pPr>
            <w:r w:rsidRPr="002B5465">
              <w:rPr>
                <w:rFonts w:cs="Arial"/>
                <w:b/>
                <w:u w:val="single"/>
              </w:rPr>
              <w:t>Facts</w:t>
            </w:r>
            <w:r w:rsidRPr="002B5465">
              <w:rPr>
                <w:rFonts w:cs="Arial"/>
              </w:rPr>
              <w:t>:</w:t>
            </w:r>
          </w:p>
          <w:p w14:paraId="2833D348" w14:textId="77777777" w:rsidR="002B5465" w:rsidRPr="002B5465" w:rsidRDefault="002B5465" w:rsidP="002B5465">
            <w:pPr>
              <w:numPr>
                <w:ilvl w:val="0"/>
                <w:numId w:val="14"/>
              </w:numPr>
              <w:contextualSpacing/>
              <w:rPr>
                <w:rFonts w:cs="Arial"/>
              </w:rPr>
            </w:pPr>
            <w:r w:rsidRPr="002B5465">
              <w:rPr>
                <w:rFonts w:cs="Arial"/>
              </w:rPr>
              <w:t>The plaintiff and defendant were friends.</w:t>
            </w:r>
          </w:p>
          <w:p w14:paraId="673D3A5C" w14:textId="77777777" w:rsidR="002B5465" w:rsidRPr="002B5465" w:rsidRDefault="002B5465" w:rsidP="002B5465">
            <w:pPr>
              <w:numPr>
                <w:ilvl w:val="0"/>
                <w:numId w:val="14"/>
              </w:numPr>
              <w:contextualSpacing/>
              <w:rPr>
                <w:rFonts w:cs="Arial"/>
              </w:rPr>
            </w:pPr>
            <w:r w:rsidRPr="002B5465">
              <w:rPr>
                <w:rFonts w:cs="Arial"/>
              </w:rPr>
              <w:t xml:space="preserve">Timeline: </w:t>
            </w:r>
          </w:p>
          <w:p w14:paraId="32F4C705" w14:textId="77777777" w:rsidR="002B5465" w:rsidRPr="002B5465" w:rsidRDefault="002B5465" w:rsidP="002B5465">
            <w:pPr>
              <w:numPr>
                <w:ilvl w:val="1"/>
                <w:numId w:val="14"/>
              </w:numPr>
              <w:contextualSpacing/>
              <w:rPr>
                <w:rFonts w:cs="Arial"/>
              </w:rPr>
            </w:pPr>
            <w:r w:rsidRPr="002B5465">
              <w:rPr>
                <w:rFonts w:cs="Arial"/>
              </w:rPr>
              <w:t>T1: Defendant joins plaintiff at drugstore where plaintiff was working. They both start drinking.</w:t>
            </w:r>
          </w:p>
          <w:p w14:paraId="7383DE5C" w14:textId="77777777" w:rsidR="002B5465" w:rsidRPr="002B5465" w:rsidRDefault="002B5465" w:rsidP="002B5465">
            <w:pPr>
              <w:numPr>
                <w:ilvl w:val="1"/>
                <w:numId w:val="14"/>
              </w:numPr>
              <w:contextualSpacing/>
              <w:rPr>
                <w:rFonts w:cs="Arial"/>
              </w:rPr>
            </w:pPr>
            <w:r w:rsidRPr="002B5465">
              <w:rPr>
                <w:rFonts w:cs="Arial"/>
              </w:rPr>
              <w:t>T2: Defendant drives plaintiff to Bar 1 and they continue drinking.</w:t>
            </w:r>
          </w:p>
          <w:p w14:paraId="24F65D92" w14:textId="77777777" w:rsidR="002B5465" w:rsidRPr="002B5465" w:rsidRDefault="002B5465" w:rsidP="002B5465">
            <w:pPr>
              <w:numPr>
                <w:ilvl w:val="1"/>
                <w:numId w:val="14"/>
              </w:numPr>
              <w:contextualSpacing/>
              <w:rPr>
                <w:rFonts w:cs="Arial"/>
              </w:rPr>
            </w:pPr>
            <w:r w:rsidRPr="002B5465">
              <w:rPr>
                <w:rFonts w:cs="Arial"/>
              </w:rPr>
              <w:t>T3: Defendant drives plaintiff to Bar 2 and they continue drinking.</w:t>
            </w:r>
          </w:p>
          <w:p w14:paraId="1A705E1E" w14:textId="77777777" w:rsidR="002B5465" w:rsidRPr="002B5465" w:rsidRDefault="002B5465" w:rsidP="002B5465">
            <w:pPr>
              <w:numPr>
                <w:ilvl w:val="1"/>
                <w:numId w:val="14"/>
              </w:numPr>
              <w:contextualSpacing/>
              <w:rPr>
                <w:rFonts w:cs="Arial"/>
              </w:rPr>
            </w:pPr>
            <w:r w:rsidRPr="002B5465">
              <w:rPr>
                <w:rFonts w:cs="Arial"/>
              </w:rPr>
              <w:t>T4: Defendant and Plaintiff leave Bar 2, with defendant driving plaintiff.</w:t>
            </w:r>
          </w:p>
          <w:p w14:paraId="63D76197" w14:textId="77777777" w:rsidR="002B5465" w:rsidRPr="002B5465" w:rsidRDefault="002B5465" w:rsidP="002B5465">
            <w:pPr>
              <w:numPr>
                <w:ilvl w:val="1"/>
                <w:numId w:val="14"/>
              </w:numPr>
              <w:contextualSpacing/>
              <w:rPr>
                <w:rFonts w:cs="Arial"/>
              </w:rPr>
            </w:pPr>
            <w:r w:rsidRPr="002B5465">
              <w:rPr>
                <w:rFonts w:cs="Arial"/>
              </w:rPr>
              <w:t xml:space="preserve">T5: Defendant veers into wrong side of road due to advanced intoxication. Defendant’s vehicle collides head on with an approaching vehicle. The </w:t>
            </w:r>
            <w:r w:rsidRPr="002B5465">
              <w:rPr>
                <w:rFonts w:cs="Arial"/>
              </w:rPr>
              <w:lastRenderedPageBreak/>
              <w:t>occupants of the approaching vehicle are killed, and the plaintiff sustains severe injuries.</w:t>
            </w:r>
          </w:p>
        </w:tc>
      </w:tr>
      <w:tr w:rsidR="002B5465" w:rsidRPr="002B5465" w14:paraId="74F5013B" w14:textId="77777777" w:rsidTr="0028270E">
        <w:tc>
          <w:tcPr>
            <w:tcW w:w="9350" w:type="dxa"/>
          </w:tcPr>
          <w:p w14:paraId="019CB0CE" w14:textId="77777777" w:rsidR="002B5465" w:rsidRPr="002B5465" w:rsidRDefault="002B5465" w:rsidP="002B5465">
            <w:pPr>
              <w:rPr>
                <w:rFonts w:cs="Arial"/>
              </w:rPr>
            </w:pPr>
            <w:r w:rsidRPr="002B5465">
              <w:rPr>
                <w:rFonts w:cs="Arial"/>
                <w:b/>
                <w:u w:val="single"/>
              </w:rPr>
              <w:lastRenderedPageBreak/>
              <w:t>Prior</w:t>
            </w:r>
            <w:r w:rsidRPr="002B5465">
              <w:rPr>
                <w:rFonts w:cs="Arial"/>
                <w:u w:val="single"/>
              </w:rPr>
              <w:t xml:space="preserve"> </w:t>
            </w:r>
            <w:r w:rsidRPr="002B5465">
              <w:rPr>
                <w:rFonts w:cs="Arial"/>
                <w:b/>
                <w:u w:val="single"/>
              </w:rPr>
              <w:t>Proceedings</w:t>
            </w:r>
            <w:r w:rsidRPr="002B5465">
              <w:rPr>
                <w:rFonts w:cs="Arial"/>
              </w:rPr>
              <w:t>:</w:t>
            </w:r>
          </w:p>
          <w:p w14:paraId="73377E6A" w14:textId="77777777" w:rsidR="002B5465" w:rsidRPr="002B5465" w:rsidRDefault="002B5465" w:rsidP="002B5465">
            <w:pPr>
              <w:numPr>
                <w:ilvl w:val="0"/>
                <w:numId w:val="14"/>
              </w:numPr>
              <w:contextualSpacing/>
              <w:rPr>
                <w:rFonts w:cs="Arial"/>
              </w:rPr>
            </w:pPr>
            <w:r w:rsidRPr="002B5465">
              <w:rPr>
                <w:rFonts w:cs="Arial"/>
              </w:rPr>
              <w:t>Trial judge finds that the defendant was grossly negligent. However, the trial judge relieved the defendant of all liability because the plaintiff voluntarily assumed the risk.</w:t>
            </w:r>
          </w:p>
          <w:p w14:paraId="32F98F76" w14:textId="77777777" w:rsidR="002B5465" w:rsidRPr="002B5465" w:rsidRDefault="002B5465" w:rsidP="002B5465">
            <w:pPr>
              <w:numPr>
                <w:ilvl w:val="1"/>
                <w:numId w:val="14"/>
              </w:numPr>
              <w:contextualSpacing/>
              <w:rPr>
                <w:rFonts w:cs="Arial"/>
              </w:rPr>
            </w:pPr>
            <w:r w:rsidRPr="002B5465">
              <w:rPr>
                <w:rFonts w:cs="Arial"/>
              </w:rPr>
              <w:t>The trial judge found that at least by T3, if not T2, both parties had “clearly decided to divert themselves with drinking in the presence and companionship of each other, and that [the plaintiff] was quite prepared to accept any risks involved in the operation of his motor vehicle by Gilbert during the course of their time together.”</w:t>
            </w:r>
          </w:p>
          <w:p w14:paraId="2B0176EA" w14:textId="77777777" w:rsidR="002B5465" w:rsidRPr="002B5465" w:rsidRDefault="002B5465" w:rsidP="002B5465">
            <w:pPr>
              <w:numPr>
                <w:ilvl w:val="1"/>
                <w:numId w:val="14"/>
              </w:numPr>
              <w:contextualSpacing/>
              <w:rPr>
                <w:rFonts w:cs="Arial"/>
              </w:rPr>
            </w:pPr>
            <w:r w:rsidRPr="002B5465">
              <w:rPr>
                <w:rFonts w:cs="Arial"/>
              </w:rPr>
              <w:t>The plaintiff agreed that he knew that a risk of personal injury would arise if Gilbert got drunk and operated a motor vehicle.</w:t>
            </w:r>
          </w:p>
          <w:p w14:paraId="723BA8B3" w14:textId="77777777" w:rsidR="002B5465" w:rsidRPr="002B5465" w:rsidRDefault="002B5465" w:rsidP="002B5465">
            <w:pPr>
              <w:numPr>
                <w:ilvl w:val="1"/>
                <w:numId w:val="14"/>
              </w:numPr>
              <w:contextualSpacing/>
              <w:rPr>
                <w:rFonts w:cs="Arial"/>
              </w:rPr>
            </w:pPr>
            <w:r w:rsidRPr="002B5465">
              <w:rPr>
                <w:rFonts w:cs="Arial"/>
              </w:rPr>
              <w:t>Therefore, the plaintiff accepted the risk of personal injury arising from Gilbert getting drunk and operating a motor vehicle.</w:t>
            </w:r>
          </w:p>
          <w:p w14:paraId="75C3D5FB" w14:textId="77777777" w:rsidR="002B5465" w:rsidRPr="002B5465" w:rsidRDefault="002B5465" w:rsidP="002B5465">
            <w:pPr>
              <w:numPr>
                <w:ilvl w:val="2"/>
                <w:numId w:val="14"/>
              </w:numPr>
              <w:contextualSpacing/>
              <w:rPr>
                <w:rFonts w:cs="Arial"/>
              </w:rPr>
            </w:pPr>
            <w:r w:rsidRPr="002B5465">
              <w:rPr>
                <w:rFonts w:cs="Arial"/>
              </w:rPr>
              <w:t>Note: this makes no distinction between personal and legal consequences.</w:t>
            </w:r>
          </w:p>
        </w:tc>
      </w:tr>
      <w:tr w:rsidR="002B5465" w:rsidRPr="002B5465" w14:paraId="40E9BD13" w14:textId="77777777" w:rsidTr="0028270E">
        <w:tc>
          <w:tcPr>
            <w:tcW w:w="9350" w:type="dxa"/>
          </w:tcPr>
          <w:p w14:paraId="763D28CB" w14:textId="77777777" w:rsidR="002B5465" w:rsidRPr="002B5465" w:rsidRDefault="002B5465" w:rsidP="002B5465">
            <w:pPr>
              <w:rPr>
                <w:rFonts w:cs="Arial"/>
              </w:rPr>
            </w:pPr>
            <w:r w:rsidRPr="002B5465">
              <w:rPr>
                <w:rFonts w:cs="Arial"/>
                <w:b/>
                <w:u w:val="single"/>
              </w:rPr>
              <w:t>Issues</w:t>
            </w:r>
            <w:r w:rsidRPr="002B5465">
              <w:rPr>
                <w:rFonts w:cs="Arial"/>
              </w:rPr>
              <w:t>:</w:t>
            </w:r>
          </w:p>
          <w:p w14:paraId="2352F766" w14:textId="77777777" w:rsidR="002B5465" w:rsidRPr="002B5465" w:rsidRDefault="002B5465" w:rsidP="002B5465">
            <w:pPr>
              <w:numPr>
                <w:ilvl w:val="0"/>
                <w:numId w:val="14"/>
              </w:numPr>
              <w:contextualSpacing/>
              <w:rPr>
                <w:rFonts w:cs="Arial"/>
              </w:rPr>
            </w:pPr>
            <w:r w:rsidRPr="002B5465">
              <w:rPr>
                <w:rFonts w:cs="Arial"/>
              </w:rPr>
              <w:t xml:space="preserve">Did the trial judge err in holding that the plaintiff voluntarily </w:t>
            </w:r>
            <w:proofErr w:type="gramStart"/>
            <w:r w:rsidRPr="002B5465">
              <w:rPr>
                <w:rFonts w:cs="Arial"/>
              </w:rPr>
              <w:t>assume</w:t>
            </w:r>
            <w:proofErr w:type="gramEnd"/>
            <w:r w:rsidRPr="002B5465">
              <w:rPr>
                <w:rFonts w:cs="Arial"/>
              </w:rPr>
              <w:t xml:space="preserve"> the risk?</w:t>
            </w:r>
          </w:p>
        </w:tc>
      </w:tr>
      <w:tr w:rsidR="002B5465" w:rsidRPr="002B5465" w14:paraId="4B474043" w14:textId="77777777" w:rsidTr="0028270E">
        <w:tc>
          <w:tcPr>
            <w:tcW w:w="9350" w:type="dxa"/>
          </w:tcPr>
          <w:p w14:paraId="62076482" w14:textId="77777777" w:rsidR="002B5465" w:rsidRPr="002B5465" w:rsidRDefault="002B5465" w:rsidP="002B5465">
            <w:pPr>
              <w:rPr>
                <w:rFonts w:cs="Arial"/>
              </w:rPr>
            </w:pPr>
            <w:r w:rsidRPr="002B5465">
              <w:rPr>
                <w:rFonts w:cs="Arial"/>
                <w:b/>
                <w:u w:val="single"/>
              </w:rPr>
              <w:t>Held</w:t>
            </w:r>
            <w:r w:rsidRPr="002B5465">
              <w:rPr>
                <w:rFonts w:cs="Arial"/>
              </w:rPr>
              <w:t>:</w:t>
            </w:r>
          </w:p>
          <w:p w14:paraId="50A7AA90" w14:textId="77777777" w:rsidR="002B5465" w:rsidRPr="002B5465" w:rsidRDefault="002B5465" w:rsidP="002B5465">
            <w:pPr>
              <w:numPr>
                <w:ilvl w:val="0"/>
                <w:numId w:val="14"/>
              </w:numPr>
              <w:contextualSpacing/>
              <w:rPr>
                <w:rFonts w:cs="Arial"/>
              </w:rPr>
            </w:pPr>
            <w:r w:rsidRPr="002B5465">
              <w:rPr>
                <w:rFonts w:cs="Arial"/>
              </w:rPr>
              <w:t>Judgement for the defendant. Appeal dismissed.</w:t>
            </w:r>
          </w:p>
        </w:tc>
      </w:tr>
      <w:tr w:rsidR="002B5465" w:rsidRPr="002B5465" w14:paraId="356BFFF5" w14:textId="77777777" w:rsidTr="0028270E">
        <w:tc>
          <w:tcPr>
            <w:tcW w:w="9350" w:type="dxa"/>
          </w:tcPr>
          <w:p w14:paraId="07791E0A" w14:textId="77777777" w:rsidR="002B5465" w:rsidRPr="002B5465" w:rsidRDefault="002B5465" w:rsidP="002B5465">
            <w:pPr>
              <w:rPr>
                <w:rFonts w:cs="Arial"/>
              </w:rPr>
            </w:pPr>
            <w:r w:rsidRPr="002B5465">
              <w:rPr>
                <w:rFonts w:cs="Arial"/>
                <w:b/>
                <w:u w:val="single"/>
              </w:rPr>
              <w:t>Ratio</w:t>
            </w:r>
            <w:r w:rsidRPr="002B5465">
              <w:rPr>
                <w:rFonts w:cs="Arial"/>
              </w:rPr>
              <w:t>:</w:t>
            </w:r>
          </w:p>
          <w:p w14:paraId="4C8214FD" w14:textId="77777777" w:rsidR="002B5465" w:rsidRPr="002B5465" w:rsidRDefault="002B5465" w:rsidP="002B5465">
            <w:pPr>
              <w:numPr>
                <w:ilvl w:val="0"/>
                <w:numId w:val="14"/>
              </w:numPr>
              <w:contextualSpacing/>
              <w:rPr>
                <w:rFonts w:eastAsia="Aptos" w:cs="Arial"/>
              </w:rPr>
            </w:pPr>
            <w:r w:rsidRPr="002B5465">
              <w:rPr>
                <w:rFonts w:eastAsia="Aptos" w:cs="Arial"/>
              </w:rPr>
              <w:t>I do not know how to reconcile this case with Dube v Labar. I think this is wrongly decided.</w:t>
            </w:r>
          </w:p>
        </w:tc>
      </w:tr>
      <w:tr w:rsidR="002B5465" w:rsidRPr="002B5465" w14:paraId="25AC291B" w14:textId="77777777" w:rsidTr="0028270E">
        <w:tc>
          <w:tcPr>
            <w:tcW w:w="9350" w:type="dxa"/>
          </w:tcPr>
          <w:p w14:paraId="0B472FE0" w14:textId="77777777" w:rsidR="002B5465" w:rsidRPr="002B5465" w:rsidRDefault="002B5465" w:rsidP="002B5465">
            <w:pPr>
              <w:rPr>
                <w:rFonts w:cs="Arial"/>
              </w:rPr>
            </w:pPr>
            <w:r w:rsidRPr="002B5465">
              <w:rPr>
                <w:rFonts w:cs="Arial"/>
                <w:b/>
                <w:u w:val="single"/>
              </w:rPr>
              <w:t>Reasons</w:t>
            </w:r>
            <w:r w:rsidRPr="002B5465">
              <w:rPr>
                <w:rFonts w:cs="Arial"/>
              </w:rPr>
              <w:t>:</w:t>
            </w:r>
          </w:p>
          <w:p w14:paraId="45045DFF" w14:textId="77777777" w:rsidR="002B5465" w:rsidRPr="002B5465" w:rsidRDefault="002B5465" w:rsidP="002B5465">
            <w:pPr>
              <w:numPr>
                <w:ilvl w:val="0"/>
                <w:numId w:val="14"/>
              </w:numPr>
              <w:contextualSpacing/>
              <w:rPr>
                <w:rFonts w:eastAsia="Aptos" w:cs="Arial"/>
              </w:rPr>
            </w:pPr>
            <w:r w:rsidRPr="002B5465">
              <w:rPr>
                <w:rFonts w:eastAsia="Aptos" w:cs="Arial"/>
              </w:rPr>
              <w:t>The trial judge found that the plaintiff and defendant engaged in a joint venture which the plaintiff knew or ought to have known would create a risk of personal injury and that the plaintiff voluntarily accepted that risk.</w:t>
            </w:r>
          </w:p>
          <w:p w14:paraId="5396CD43" w14:textId="77777777" w:rsidR="002B5465" w:rsidRPr="002B5465" w:rsidRDefault="002B5465" w:rsidP="002B5465">
            <w:pPr>
              <w:numPr>
                <w:ilvl w:val="0"/>
                <w:numId w:val="14"/>
              </w:numPr>
              <w:contextualSpacing/>
              <w:rPr>
                <w:rFonts w:eastAsia="Aptos" w:cs="Arial"/>
              </w:rPr>
            </w:pPr>
            <w:r w:rsidRPr="002B5465">
              <w:rPr>
                <w:rFonts w:eastAsia="Aptos" w:cs="Arial"/>
              </w:rPr>
              <w:t xml:space="preserve">The conduct of the parties in the circumstances necessarily implies that the plaintiff consented to the physical </w:t>
            </w:r>
            <w:r w:rsidRPr="002B5465">
              <w:rPr>
                <w:rFonts w:eastAsia="Aptos" w:cs="Arial"/>
                <w:u w:val="single"/>
              </w:rPr>
              <w:t>and</w:t>
            </w:r>
            <w:r w:rsidRPr="002B5465">
              <w:rPr>
                <w:rFonts w:eastAsia="Aptos" w:cs="Arial"/>
              </w:rPr>
              <w:t xml:space="preserve"> legal risk of injury involved.</w:t>
            </w:r>
          </w:p>
          <w:p w14:paraId="5B4D6412" w14:textId="77777777" w:rsidR="002B5465" w:rsidRPr="002B5465" w:rsidRDefault="002B5465" w:rsidP="002B5465">
            <w:pPr>
              <w:numPr>
                <w:ilvl w:val="1"/>
                <w:numId w:val="14"/>
              </w:numPr>
              <w:contextualSpacing/>
              <w:rPr>
                <w:rFonts w:eastAsia="Aptos" w:cs="Arial"/>
              </w:rPr>
            </w:pPr>
            <w:r w:rsidRPr="002B5465">
              <w:rPr>
                <w:rFonts w:eastAsia="Aptos" w:cs="Arial"/>
              </w:rPr>
              <w:t>This is inferred from the nature of the joint venture: two buddies getting stupid drunk and letting one of them operate a motor vehicle when he was “hopelessly intoxicated and grossly impaired.”</w:t>
            </w:r>
          </w:p>
          <w:p w14:paraId="4304F37C" w14:textId="77777777" w:rsidR="002B5465" w:rsidRPr="002B5465" w:rsidRDefault="002B5465" w:rsidP="002B5465">
            <w:pPr>
              <w:numPr>
                <w:ilvl w:val="0"/>
                <w:numId w:val="14"/>
              </w:numPr>
              <w:contextualSpacing/>
              <w:rPr>
                <w:rFonts w:eastAsia="Aptos" w:cs="Arial"/>
              </w:rPr>
            </w:pPr>
            <w:r w:rsidRPr="002B5465">
              <w:rPr>
                <w:rFonts w:eastAsia="Aptos" w:cs="Arial"/>
              </w:rPr>
              <w:t>Plaintiff’s argument: at the relevant time the plaintiff “was in a mental state which disabled him from appreciating the nature and extent of the risk.” (i.e., he was super drunk)</w:t>
            </w:r>
          </w:p>
          <w:p w14:paraId="2FFDB9EF" w14:textId="77777777" w:rsidR="002B5465" w:rsidRPr="002B5465" w:rsidRDefault="002B5465" w:rsidP="002B5465">
            <w:pPr>
              <w:numPr>
                <w:ilvl w:val="0"/>
                <w:numId w:val="14"/>
              </w:numPr>
              <w:contextualSpacing/>
              <w:rPr>
                <w:rFonts w:eastAsia="Aptos" w:cs="Arial"/>
              </w:rPr>
            </w:pPr>
            <w:r w:rsidRPr="002B5465">
              <w:rPr>
                <w:rFonts w:eastAsia="Aptos" w:cs="Arial"/>
              </w:rPr>
              <w:t xml:space="preserve">Reply: This case is just like </w:t>
            </w:r>
            <w:r w:rsidRPr="002B5465">
              <w:rPr>
                <w:rFonts w:eastAsia="Aptos" w:cs="Arial"/>
                <w:i/>
                <w:iCs/>
              </w:rPr>
              <w:t>Miller v Decker</w:t>
            </w:r>
            <w:r w:rsidRPr="002B5465">
              <w:rPr>
                <w:rFonts w:eastAsia="Aptos" w:cs="Arial"/>
              </w:rPr>
              <w:t xml:space="preserve"> (SCC case).</w:t>
            </w:r>
          </w:p>
          <w:p w14:paraId="33D2D027" w14:textId="77777777" w:rsidR="002B5465" w:rsidRPr="002B5465" w:rsidRDefault="002B5465" w:rsidP="002B5465">
            <w:pPr>
              <w:numPr>
                <w:ilvl w:val="1"/>
                <w:numId w:val="14"/>
              </w:numPr>
              <w:contextualSpacing/>
              <w:rPr>
                <w:rFonts w:eastAsia="Aptos" w:cs="Arial"/>
              </w:rPr>
            </w:pPr>
            <w:r w:rsidRPr="002B5465">
              <w:rPr>
                <w:rFonts w:eastAsia="Aptos" w:cs="Arial"/>
              </w:rPr>
              <w:t>When some friends sit down at a bar to start drinking (Miller, Decker, and another), and one of them has a car (Decker), a reasonable person in the circumstances of the friend with the car “would have required the other two to assume the risks all were able to foresee and would have participated in creating, to take the same risks that he was taking, is unquestionable.”</w:t>
            </w:r>
          </w:p>
          <w:p w14:paraId="39884933" w14:textId="77777777" w:rsidR="002B5465" w:rsidRPr="002B5465" w:rsidRDefault="002B5465" w:rsidP="002B5465">
            <w:pPr>
              <w:numPr>
                <w:ilvl w:val="1"/>
                <w:numId w:val="14"/>
              </w:numPr>
              <w:contextualSpacing/>
              <w:rPr>
                <w:rFonts w:eastAsia="Aptos" w:cs="Arial"/>
              </w:rPr>
            </w:pPr>
            <w:r w:rsidRPr="002B5465">
              <w:rPr>
                <w:rFonts w:eastAsia="Aptos" w:cs="Arial"/>
              </w:rPr>
              <w:lastRenderedPageBreak/>
              <w:t>“The conditions then existing, their inevitable development, and the obvious hazards were their equally and jointly; and one can imagine the reasonable response of Decker, had his mind still been clear enough, if either of them had let fall a suggestion that he would be responsible for their safety – they would have been told to get into another car.”</w:t>
            </w:r>
          </w:p>
          <w:p w14:paraId="3C6D0BFC" w14:textId="77777777" w:rsidR="002B5465" w:rsidRPr="002B5465" w:rsidRDefault="002B5465" w:rsidP="002B5465">
            <w:pPr>
              <w:numPr>
                <w:ilvl w:val="1"/>
                <w:numId w:val="14"/>
              </w:numPr>
              <w:contextualSpacing/>
              <w:rPr>
                <w:rFonts w:eastAsia="Aptos" w:cs="Arial"/>
              </w:rPr>
            </w:pPr>
            <w:r w:rsidRPr="002B5465">
              <w:rPr>
                <w:rFonts w:eastAsia="Aptos" w:cs="Arial"/>
              </w:rPr>
              <w:t xml:space="preserve">“It is equally clear that Miller is to be taken to have accepted that requirement. This would have been obvious if he had remained sober and in command of his faculties – and having, by his voluntary acts, co-operated in creating and placing himself </w:t>
            </w:r>
            <w:proofErr w:type="gramStart"/>
            <w:r w:rsidRPr="002B5465">
              <w:rPr>
                <w:rFonts w:eastAsia="Aptos" w:cs="Arial"/>
              </w:rPr>
              <w:t>in the midst of</w:t>
            </w:r>
            <w:proofErr w:type="gramEnd"/>
            <w:r w:rsidRPr="002B5465">
              <w:rPr>
                <w:rFonts w:eastAsia="Aptos" w:cs="Arial"/>
              </w:rPr>
              <w:t xml:space="preserve"> the mounting dangers, his intoxication does not qualify his acceptance.”</w:t>
            </w:r>
          </w:p>
          <w:p w14:paraId="3E718FF3" w14:textId="77777777" w:rsidR="002B5465" w:rsidRPr="002B5465" w:rsidRDefault="002B5465" w:rsidP="002B5465">
            <w:pPr>
              <w:numPr>
                <w:ilvl w:val="0"/>
                <w:numId w:val="14"/>
              </w:numPr>
              <w:contextualSpacing/>
              <w:rPr>
                <w:rFonts w:eastAsia="Aptos" w:cs="Arial"/>
              </w:rPr>
            </w:pPr>
            <w:r w:rsidRPr="002B5465">
              <w:rPr>
                <w:rFonts w:eastAsia="Aptos" w:cs="Arial"/>
              </w:rPr>
              <w:t>Case dismissed.</w:t>
            </w:r>
          </w:p>
        </w:tc>
      </w:tr>
    </w:tbl>
    <w:p w14:paraId="173EB127" w14:textId="24A49452" w:rsidR="00205E27" w:rsidRDefault="00A26F46" w:rsidP="002B5465">
      <w:pPr>
        <w:spacing w:line="240" w:lineRule="auto"/>
        <w:contextualSpacing/>
        <w:rPr>
          <w:rFonts w:eastAsia="Aptos" w:cs="Arial"/>
          <w:sz w:val="24"/>
          <w:szCs w:val="24"/>
        </w:rPr>
      </w:pPr>
      <w:r>
        <w:rPr>
          <w:rFonts w:eastAsia="Aptos" w:cs="Arial"/>
          <w:sz w:val="24"/>
          <w:szCs w:val="24"/>
        </w:rPr>
        <w:lastRenderedPageBreak/>
        <w:t xml:space="preserve"> </w:t>
      </w:r>
    </w:p>
    <w:p w14:paraId="225FA12D" w14:textId="77777777" w:rsidR="00A26F46" w:rsidRPr="00A26F46" w:rsidRDefault="00A26F46" w:rsidP="00A26F46">
      <w:pPr>
        <w:pStyle w:val="Heading3"/>
        <w:rPr>
          <w:rFonts w:eastAsia="MS Gothic"/>
          <w:lang w:eastAsia="ja-JP"/>
        </w:rPr>
      </w:pPr>
      <w:bookmarkStart w:id="0" w:name="_Toc163588118"/>
      <w:r w:rsidRPr="00A26F46">
        <w:rPr>
          <w:rFonts w:eastAsia="MS Gothic"/>
          <w:lang w:eastAsia="ja-JP"/>
        </w:rPr>
        <w:t>Birch v Thomas, [1972] UKCA</w:t>
      </w:r>
      <w:bookmarkEnd w:id="0"/>
    </w:p>
    <w:tbl>
      <w:tblPr>
        <w:tblStyle w:val="TableGrid51"/>
        <w:tblW w:w="0" w:type="auto"/>
        <w:tblLook w:val="04A0" w:firstRow="1" w:lastRow="0" w:firstColumn="1" w:lastColumn="0" w:noHBand="0" w:noVBand="1"/>
      </w:tblPr>
      <w:tblGrid>
        <w:gridCol w:w="9350"/>
      </w:tblGrid>
      <w:tr w:rsidR="00A26F46" w:rsidRPr="00A26F46" w14:paraId="25375F8D" w14:textId="77777777" w:rsidTr="0028270E">
        <w:tc>
          <w:tcPr>
            <w:tcW w:w="9350" w:type="dxa"/>
          </w:tcPr>
          <w:p w14:paraId="49B6F8DD" w14:textId="77777777" w:rsidR="00A26F46" w:rsidRPr="00A26F46" w:rsidRDefault="00A26F46" w:rsidP="00A26F46">
            <w:pPr>
              <w:rPr>
                <w:rFonts w:cs="Arial"/>
              </w:rPr>
            </w:pPr>
            <w:r w:rsidRPr="00A26F46">
              <w:rPr>
                <w:rFonts w:cs="Arial"/>
                <w:b/>
                <w:u w:val="single"/>
              </w:rPr>
              <w:t>Facts</w:t>
            </w:r>
            <w:r w:rsidRPr="00A26F46">
              <w:rPr>
                <w:rFonts w:cs="Arial"/>
              </w:rPr>
              <w:t>:</w:t>
            </w:r>
          </w:p>
          <w:p w14:paraId="0B761500" w14:textId="77777777" w:rsidR="00A26F46" w:rsidRPr="00A26F46" w:rsidRDefault="00A26F46" w:rsidP="00A26F46">
            <w:pPr>
              <w:numPr>
                <w:ilvl w:val="0"/>
                <w:numId w:val="14"/>
              </w:numPr>
              <w:contextualSpacing/>
              <w:rPr>
                <w:rFonts w:cs="Arial"/>
              </w:rPr>
            </w:pPr>
            <w:r w:rsidRPr="00A26F46">
              <w:rPr>
                <w:rFonts w:cs="Arial"/>
              </w:rPr>
              <w:t>The 19-year-old defendant could not get insurance against passenger liability and therefore, on the advice of his insurance company, placed a sticker that read “passengers ride at their own risk and on the condition that no claims shall be made against the driver or owner” on the inside of the windshield on the passenger’s side.</w:t>
            </w:r>
          </w:p>
          <w:p w14:paraId="4C1044E4" w14:textId="77777777" w:rsidR="00A26F46" w:rsidRPr="00A26F46" w:rsidRDefault="00A26F46" w:rsidP="00A26F46">
            <w:pPr>
              <w:numPr>
                <w:ilvl w:val="0"/>
                <w:numId w:val="14"/>
              </w:numPr>
              <w:contextualSpacing/>
              <w:rPr>
                <w:rFonts w:cs="Arial"/>
              </w:rPr>
            </w:pPr>
            <w:r w:rsidRPr="00A26F46">
              <w:rPr>
                <w:rFonts w:cs="Arial"/>
              </w:rPr>
              <w:t>Before entering the car, the plaintiff was told that the defendant was not insured against passenger liability.</w:t>
            </w:r>
          </w:p>
          <w:p w14:paraId="272FB8E5" w14:textId="77777777" w:rsidR="00A26F46" w:rsidRPr="00A26F46" w:rsidRDefault="00A26F46" w:rsidP="00A26F46">
            <w:pPr>
              <w:numPr>
                <w:ilvl w:val="0"/>
                <w:numId w:val="14"/>
              </w:numPr>
              <w:contextualSpacing/>
              <w:rPr>
                <w:rFonts w:cs="Arial"/>
              </w:rPr>
            </w:pPr>
            <w:r w:rsidRPr="00A26F46">
              <w:rPr>
                <w:rFonts w:cs="Arial"/>
              </w:rPr>
              <w:t>The plaintiff still chose to ride in the car.</w:t>
            </w:r>
          </w:p>
          <w:p w14:paraId="6CD4E967" w14:textId="77777777" w:rsidR="00A26F46" w:rsidRPr="00A26F46" w:rsidRDefault="00A26F46" w:rsidP="00A26F46">
            <w:pPr>
              <w:numPr>
                <w:ilvl w:val="0"/>
                <w:numId w:val="14"/>
              </w:numPr>
              <w:contextualSpacing/>
              <w:rPr>
                <w:rFonts w:cs="Arial"/>
              </w:rPr>
            </w:pPr>
            <w:r w:rsidRPr="00A26F46">
              <w:rPr>
                <w:rFonts w:cs="Arial"/>
              </w:rPr>
              <w:t xml:space="preserve">When the plaintiff was in the car, the defendant pointed </w:t>
            </w:r>
            <w:proofErr w:type="gramStart"/>
            <w:r w:rsidRPr="00A26F46">
              <w:rPr>
                <w:rFonts w:cs="Arial"/>
              </w:rPr>
              <w:t>to</w:t>
            </w:r>
            <w:proofErr w:type="gramEnd"/>
            <w:r w:rsidRPr="00A26F46">
              <w:rPr>
                <w:rFonts w:cs="Arial"/>
              </w:rPr>
              <w:t xml:space="preserve"> the sticker, saying that it had to do with insurance.</w:t>
            </w:r>
          </w:p>
          <w:p w14:paraId="3F0B07CF" w14:textId="77777777" w:rsidR="00A26F46" w:rsidRPr="00A26F46" w:rsidRDefault="00A26F46" w:rsidP="00A26F46">
            <w:pPr>
              <w:numPr>
                <w:ilvl w:val="0"/>
                <w:numId w:val="14"/>
              </w:numPr>
              <w:contextualSpacing/>
              <w:rPr>
                <w:rFonts w:cs="Arial"/>
              </w:rPr>
            </w:pPr>
            <w:r w:rsidRPr="00A26F46">
              <w:rPr>
                <w:rFonts w:cs="Arial"/>
              </w:rPr>
              <w:t>A serious car accident ensured due to the defendant’s negligence, which caused the plaintiff severe head injuries and amnesia.</w:t>
            </w:r>
          </w:p>
        </w:tc>
      </w:tr>
      <w:tr w:rsidR="00A26F46" w:rsidRPr="00A26F46" w14:paraId="6B9C4168" w14:textId="77777777" w:rsidTr="0028270E">
        <w:tc>
          <w:tcPr>
            <w:tcW w:w="9350" w:type="dxa"/>
          </w:tcPr>
          <w:p w14:paraId="58596569" w14:textId="77777777" w:rsidR="00A26F46" w:rsidRPr="00A26F46" w:rsidRDefault="00A26F46" w:rsidP="00A26F46">
            <w:pPr>
              <w:rPr>
                <w:rFonts w:cs="Arial"/>
              </w:rPr>
            </w:pPr>
            <w:r w:rsidRPr="00A26F46">
              <w:rPr>
                <w:rFonts w:cs="Arial"/>
                <w:b/>
                <w:u w:val="single"/>
              </w:rPr>
              <w:t>Issues</w:t>
            </w:r>
            <w:r w:rsidRPr="00A26F46">
              <w:rPr>
                <w:rFonts w:cs="Arial"/>
              </w:rPr>
              <w:t>:</w:t>
            </w:r>
          </w:p>
          <w:p w14:paraId="78944808" w14:textId="77777777" w:rsidR="00A26F46" w:rsidRPr="00A26F46" w:rsidRDefault="00A26F46" w:rsidP="00A26F46">
            <w:pPr>
              <w:numPr>
                <w:ilvl w:val="0"/>
                <w:numId w:val="14"/>
              </w:numPr>
              <w:contextualSpacing/>
              <w:rPr>
                <w:rFonts w:cs="Arial"/>
              </w:rPr>
            </w:pPr>
            <w:r w:rsidRPr="00A26F46">
              <w:rPr>
                <w:rFonts w:cs="Arial"/>
              </w:rPr>
              <w:t>Did the plaintiff voluntarily assume the risk?</w:t>
            </w:r>
          </w:p>
        </w:tc>
      </w:tr>
      <w:tr w:rsidR="00A26F46" w:rsidRPr="00A26F46" w14:paraId="14404D79" w14:textId="77777777" w:rsidTr="0028270E">
        <w:tc>
          <w:tcPr>
            <w:tcW w:w="9350" w:type="dxa"/>
          </w:tcPr>
          <w:p w14:paraId="64861F33" w14:textId="77777777" w:rsidR="00A26F46" w:rsidRPr="00A26F46" w:rsidRDefault="00A26F46" w:rsidP="00A26F46">
            <w:pPr>
              <w:rPr>
                <w:rFonts w:cs="Arial"/>
              </w:rPr>
            </w:pPr>
            <w:r w:rsidRPr="00A26F46">
              <w:rPr>
                <w:rFonts w:cs="Arial"/>
                <w:b/>
                <w:u w:val="single"/>
              </w:rPr>
              <w:t>Held</w:t>
            </w:r>
            <w:r w:rsidRPr="00A26F46">
              <w:rPr>
                <w:rFonts w:cs="Arial"/>
              </w:rPr>
              <w:t>:</w:t>
            </w:r>
          </w:p>
          <w:p w14:paraId="0867E170" w14:textId="77777777" w:rsidR="00A26F46" w:rsidRPr="00A26F46" w:rsidRDefault="00A26F46" w:rsidP="00A26F46">
            <w:pPr>
              <w:numPr>
                <w:ilvl w:val="0"/>
                <w:numId w:val="14"/>
              </w:numPr>
              <w:contextualSpacing/>
              <w:rPr>
                <w:rFonts w:cs="Arial"/>
              </w:rPr>
            </w:pPr>
            <w:r w:rsidRPr="00A26F46">
              <w:rPr>
                <w:rFonts w:cs="Arial"/>
              </w:rPr>
              <w:t>The plaintiff voluntarily assumed the risk.</w:t>
            </w:r>
          </w:p>
        </w:tc>
      </w:tr>
      <w:tr w:rsidR="00A26F46" w:rsidRPr="00A26F46" w14:paraId="7B7E105F" w14:textId="77777777" w:rsidTr="0028270E">
        <w:tc>
          <w:tcPr>
            <w:tcW w:w="9350" w:type="dxa"/>
          </w:tcPr>
          <w:p w14:paraId="01E8CEE3" w14:textId="77777777" w:rsidR="00A26F46" w:rsidRPr="00A26F46" w:rsidRDefault="00A26F46" w:rsidP="00A26F46">
            <w:pPr>
              <w:rPr>
                <w:rFonts w:cs="Arial"/>
              </w:rPr>
            </w:pPr>
            <w:r w:rsidRPr="00A26F46">
              <w:rPr>
                <w:rFonts w:cs="Arial"/>
                <w:b/>
                <w:u w:val="single"/>
              </w:rPr>
              <w:t>Ratio</w:t>
            </w:r>
            <w:r w:rsidRPr="00A26F46">
              <w:rPr>
                <w:rFonts w:cs="Arial"/>
              </w:rPr>
              <w:t>:</w:t>
            </w:r>
          </w:p>
          <w:p w14:paraId="5B558938" w14:textId="77777777" w:rsidR="00A26F46" w:rsidRPr="00A26F46" w:rsidRDefault="00A26F46" w:rsidP="00A26F46">
            <w:pPr>
              <w:numPr>
                <w:ilvl w:val="0"/>
                <w:numId w:val="14"/>
              </w:numPr>
              <w:contextualSpacing/>
              <w:rPr>
                <w:rFonts w:eastAsia="Aptos" w:cs="Arial"/>
              </w:rPr>
            </w:pPr>
            <w:r w:rsidRPr="00A26F46">
              <w:rPr>
                <w:rFonts w:eastAsia="Aptos" w:cs="Arial"/>
              </w:rPr>
              <w:t>I don’t think this case can be reconciled with Dube v Labar.</w:t>
            </w:r>
          </w:p>
        </w:tc>
      </w:tr>
      <w:tr w:rsidR="00A26F46" w:rsidRPr="00A26F46" w14:paraId="10CA018A" w14:textId="77777777" w:rsidTr="0028270E">
        <w:tc>
          <w:tcPr>
            <w:tcW w:w="9350" w:type="dxa"/>
          </w:tcPr>
          <w:p w14:paraId="2E46F3FD" w14:textId="77777777" w:rsidR="00A26F46" w:rsidRPr="00A26F46" w:rsidRDefault="00A26F46" w:rsidP="00A26F46">
            <w:pPr>
              <w:rPr>
                <w:rFonts w:cs="Arial"/>
              </w:rPr>
            </w:pPr>
            <w:r w:rsidRPr="00A26F46">
              <w:rPr>
                <w:rFonts w:cs="Arial"/>
                <w:b/>
                <w:u w:val="single"/>
              </w:rPr>
              <w:t>Reasons</w:t>
            </w:r>
            <w:r w:rsidRPr="00A26F46">
              <w:rPr>
                <w:rFonts w:cs="Arial"/>
              </w:rPr>
              <w:t>:</w:t>
            </w:r>
          </w:p>
          <w:p w14:paraId="730B04E7" w14:textId="77777777" w:rsidR="00A26F46" w:rsidRPr="00A26F46" w:rsidRDefault="00A26F46" w:rsidP="00A26F46">
            <w:pPr>
              <w:numPr>
                <w:ilvl w:val="0"/>
                <w:numId w:val="14"/>
              </w:numPr>
              <w:contextualSpacing/>
              <w:rPr>
                <w:rFonts w:eastAsia="Aptos" w:cs="Arial"/>
              </w:rPr>
            </w:pPr>
            <w:r w:rsidRPr="00A26F46">
              <w:rPr>
                <w:rFonts w:eastAsia="Aptos" w:cs="Arial"/>
              </w:rPr>
              <w:t xml:space="preserve">Based on the evidence, it cannot be inferred that the plaintiff </w:t>
            </w:r>
            <w:proofErr w:type="gramStart"/>
            <w:r w:rsidRPr="00A26F46">
              <w:rPr>
                <w:rFonts w:eastAsia="Aptos" w:cs="Arial"/>
              </w:rPr>
              <w:t>read</w:t>
            </w:r>
            <w:proofErr w:type="gramEnd"/>
            <w:r w:rsidRPr="00A26F46">
              <w:rPr>
                <w:rFonts w:eastAsia="Aptos" w:cs="Arial"/>
              </w:rPr>
              <w:t xml:space="preserve"> the sticker.</w:t>
            </w:r>
          </w:p>
          <w:p w14:paraId="08C80383" w14:textId="77777777" w:rsidR="00A26F46" w:rsidRPr="00A26F46" w:rsidRDefault="00A26F46" w:rsidP="00A26F46">
            <w:pPr>
              <w:numPr>
                <w:ilvl w:val="0"/>
                <w:numId w:val="14"/>
              </w:numPr>
              <w:contextualSpacing/>
              <w:rPr>
                <w:rFonts w:eastAsia="Aptos" w:cs="Arial"/>
              </w:rPr>
            </w:pPr>
            <w:r w:rsidRPr="00A26F46">
              <w:rPr>
                <w:rFonts w:eastAsia="Aptos" w:cs="Arial"/>
              </w:rPr>
              <w:t>However, given what the defendant said to the plaintiff, the plaintiff agreed to the exemption from liability; The statement about the absence of insurance was equal to a statement that the passenger rode at his own risk.</w:t>
            </w:r>
          </w:p>
          <w:p w14:paraId="7C3B7A26" w14:textId="77777777" w:rsidR="00A26F46" w:rsidRPr="00A26F46" w:rsidRDefault="00A26F46" w:rsidP="00A26F46">
            <w:pPr>
              <w:numPr>
                <w:ilvl w:val="0"/>
                <w:numId w:val="14"/>
              </w:numPr>
              <w:contextualSpacing/>
              <w:rPr>
                <w:rFonts w:eastAsia="Aptos" w:cs="Arial"/>
              </w:rPr>
            </w:pPr>
            <w:r w:rsidRPr="00A26F46">
              <w:rPr>
                <w:rFonts w:eastAsia="Aptos" w:cs="Arial"/>
              </w:rPr>
              <w:t>This is because everyone knows that if you’re injured in a car accident you can only recover if the defendant has insurance, and regardless of that, a reasonable person would have assumed that they wouldn’t get any money from broke looking 19-year-olds.</w:t>
            </w:r>
          </w:p>
        </w:tc>
      </w:tr>
    </w:tbl>
    <w:p w14:paraId="5ED2B5BB" w14:textId="77777777" w:rsidR="00A26F46" w:rsidRPr="003D172D" w:rsidRDefault="00A26F46" w:rsidP="002B5465">
      <w:pPr>
        <w:spacing w:line="240" w:lineRule="auto"/>
        <w:contextualSpacing/>
        <w:rPr>
          <w:rFonts w:eastAsia="Aptos" w:cs="Arial"/>
          <w:sz w:val="24"/>
          <w:szCs w:val="24"/>
        </w:rPr>
      </w:pPr>
    </w:p>
    <w:p w14:paraId="7A6A50FC" w14:textId="1AF277D0" w:rsidR="00383CED" w:rsidRDefault="00383CED" w:rsidP="00383CED">
      <w:pPr>
        <w:pStyle w:val="Heading2"/>
      </w:pPr>
      <w:r w:rsidRPr="002B6139">
        <w:lastRenderedPageBreak/>
        <w:t>Illegality</w:t>
      </w:r>
    </w:p>
    <w:p w14:paraId="28CED04F" w14:textId="54490631" w:rsidR="00277058" w:rsidRDefault="00277058" w:rsidP="00277058">
      <w:pPr>
        <w:pStyle w:val="ListParagraph"/>
        <w:numPr>
          <w:ilvl w:val="0"/>
          <w:numId w:val="30"/>
        </w:numPr>
      </w:pPr>
      <w:r>
        <w:t xml:space="preserve">The defence of illegality applies where allowing a plaintiff to recover would introduce inconsistency into the legal </w:t>
      </w:r>
      <w:proofErr w:type="gramStart"/>
      <w:r>
        <w:t>system as a whole, either</w:t>
      </w:r>
      <w:proofErr w:type="gramEnd"/>
      <w:r>
        <w:t xml:space="preserve"> by permitting the plaintiff to profit from an illegal or wrongful act, or to evade a penalty prescribed by criminal law. (Hall 1993 SCC)</w:t>
      </w:r>
    </w:p>
    <w:p w14:paraId="211A20D9" w14:textId="1DBBD3C7" w:rsidR="00277058" w:rsidRDefault="00277058" w:rsidP="007371F4">
      <w:pPr>
        <w:pStyle w:val="ListParagraph"/>
        <w:numPr>
          <w:ilvl w:val="1"/>
          <w:numId w:val="30"/>
        </w:numPr>
      </w:pPr>
      <w:r>
        <w:t>It applies where allowing the plaintiff to recover “would put the courts in the position of saying that the same conduct is both legal, in the sense of being capable of rectification by the court, and illegal. It would, in short, introduce an inconsistency in the law.” (Hall)</w:t>
      </w:r>
    </w:p>
    <w:p w14:paraId="026AED84" w14:textId="38AE972F" w:rsidR="00277058" w:rsidRDefault="00277058" w:rsidP="007371F4">
      <w:pPr>
        <w:pStyle w:val="ListParagraph"/>
        <w:numPr>
          <w:ilvl w:val="1"/>
          <w:numId w:val="30"/>
        </w:numPr>
      </w:pPr>
      <w:r>
        <w:t>Applies to a complete cause of action at the public policy stage. (Hall)</w:t>
      </w:r>
    </w:p>
    <w:p w14:paraId="32E10089" w14:textId="6238BAB9" w:rsidR="00277058" w:rsidRDefault="00277058" w:rsidP="00277058">
      <w:pPr>
        <w:pStyle w:val="ListParagraph"/>
        <w:numPr>
          <w:ilvl w:val="0"/>
          <w:numId w:val="30"/>
        </w:numPr>
      </w:pPr>
      <w:r>
        <w:t xml:space="preserve">The underlying rational is to protect the internal coherency of the legal </w:t>
      </w:r>
      <w:proofErr w:type="gramStart"/>
      <w:r>
        <w:t>system as a whole</w:t>
      </w:r>
      <w:proofErr w:type="gramEnd"/>
      <w:r>
        <w:t>. (Hall)</w:t>
      </w:r>
    </w:p>
    <w:p w14:paraId="79DC722E" w14:textId="7F74337C" w:rsidR="0068223F" w:rsidRDefault="0068223F" w:rsidP="0068223F">
      <w:pPr>
        <w:pStyle w:val="ListParagraph"/>
        <w:numPr>
          <w:ilvl w:val="0"/>
          <w:numId w:val="30"/>
        </w:numPr>
      </w:pPr>
      <w:r>
        <w:t xml:space="preserve">“When a person receives a criminal sanction, he or she is subject to a criminal penalty as well as the civil consequences that are the natural result of the criminal sanction. The consequences of imprisonment include wage loss.” </w:t>
      </w:r>
      <w:r w:rsidRPr="0068223F">
        <w:t>(</w:t>
      </w:r>
      <w:proofErr w:type="spellStart"/>
      <w:r w:rsidRPr="0068223F">
        <w:t>Zastowny</w:t>
      </w:r>
      <w:proofErr w:type="spellEnd"/>
      <w:r w:rsidRPr="0068223F">
        <w:t xml:space="preserve"> 2008 SCC)</w:t>
      </w:r>
    </w:p>
    <w:p w14:paraId="19153F1B" w14:textId="0A279BD8" w:rsidR="0068223F" w:rsidRDefault="0068223F" w:rsidP="0068223F">
      <w:pPr>
        <w:pStyle w:val="ListParagraph"/>
        <w:numPr>
          <w:ilvl w:val="0"/>
          <w:numId w:val="30"/>
        </w:numPr>
      </w:pPr>
      <w:r>
        <w:t xml:space="preserve">“An award of damages for wages lost while incarcerated would constitute a rebate of the natural consequence of the penalty provided by the criminal law.” </w:t>
      </w:r>
      <w:r w:rsidRPr="0068223F">
        <w:t>(</w:t>
      </w:r>
      <w:proofErr w:type="spellStart"/>
      <w:r w:rsidRPr="0068223F">
        <w:t>Zastowny</w:t>
      </w:r>
      <w:proofErr w:type="spellEnd"/>
      <w:r w:rsidRPr="0068223F">
        <w:t xml:space="preserve"> 2008 SCC)</w:t>
      </w:r>
    </w:p>
    <w:p w14:paraId="2F6DA24F" w14:textId="37A2E007" w:rsidR="007371F4" w:rsidRPr="00277058" w:rsidRDefault="0068223F" w:rsidP="0068223F">
      <w:pPr>
        <w:pStyle w:val="ListParagraph"/>
        <w:numPr>
          <w:ilvl w:val="0"/>
          <w:numId w:val="30"/>
        </w:numPr>
      </w:pPr>
      <w:r>
        <w:t>Thus, allowing recovery would introduce an inconsistency in the law, so the defence of illegality applies. (</w:t>
      </w:r>
      <w:proofErr w:type="spellStart"/>
      <w:r>
        <w:t>Zastowny</w:t>
      </w:r>
      <w:proofErr w:type="spellEnd"/>
      <w:r>
        <w:t xml:space="preserve"> 2008 SCC)</w:t>
      </w:r>
    </w:p>
    <w:p w14:paraId="481BD982" w14:textId="31017270" w:rsidR="001229B6" w:rsidRPr="002B6139" w:rsidRDefault="001229B6" w:rsidP="001229B6">
      <w:pPr>
        <w:pStyle w:val="Heading1"/>
      </w:pPr>
      <w:r w:rsidRPr="002B6139">
        <w:t>Seven: Assessment of Damages</w:t>
      </w:r>
    </w:p>
    <w:p w14:paraId="3B77A27F" w14:textId="67A6F93E" w:rsidR="008771DB" w:rsidRDefault="008771DB" w:rsidP="008771DB">
      <w:pPr>
        <w:pStyle w:val="ListParagraph"/>
        <w:numPr>
          <w:ilvl w:val="0"/>
          <w:numId w:val="21"/>
        </w:numPr>
        <w:spacing w:line="240" w:lineRule="auto"/>
        <w:rPr>
          <w:sz w:val="24"/>
          <w:szCs w:val="24"/>
        </w:rPr>
      </w:pPr>
      <w:r w:rsidRPr="008771DB">
        <w:rPr>
          <w:sz w:val="24"/>
          <w:szCs w:val="24"/>
        </w:rPr>
        <w:t>Fundamental principle: A plaintiff cannot recover more damages than necessary to return her to her original position. Her loss consists in the difference between the original position and the injured position. (Jobling v Associated Dairy 1982 UKHL, Athey 1996 SCC)</w:t>
      </w:r>
    </w:p>
    <w:p w14:paraId="43742FB2" w14:textId="0CF14A6C" w:rsidR="002C69B2" w:rsidRDefault="002C69B2" w:rsidP="002C69B2">
      <w:pPr>
        <w:pStyle w:val="ListParagraph"/>
        <w:numPr>
          <w:ilvl w:val="0"/>
          <w:numId w:val="21"/>
        </w:numPr>
        <w:spacing w:line="240" w:lineRule="auto"/>
        <w:rPr>
          <w:sz w:val="24"/>
          <w:szCs w:val="24"/>
        </w:rPr>
      </w:pPr>
      <w:r>
        <w:rPr>
          <w:sz w:val="24"/>
          <w:szCs w:val="24"/>
        </w:rPr>
        <w:t>Step One: Determine what the global damages are</w:t>
      </w:r>
      <w:r w:rsidR="009C122C">
        <w:rPr>
          <w:sz w:val="24"/>
          <w:szCs w:val="24"/>
        </w:rPr>
        <w:t xml:space="preserve"> for each plaintiff</w:t>
      </w:r>
      <w:r>
        <w:rPr>
          <w:sz w:val="24"/>
          <w:szCs w:val="24"/>
        </w:rPr>
        <w:t>.</w:t>
      </w:r>
    </w:p>
    <w:p w14:paraId="23059EE9" w14:textId="427771DB" w:rsidR="002C69B2" w:rsidRDefault="008C7899" w:rsidP="002C69B2">
      <w:pPr>
        <w:pStyle w:val="ListParagraph"/>
        <w:numPr>
          <w:ilvl w:val="1"/>
          <w:numId w:val="21"/>
        </w:numPr>
        <w:spacing w:line="240" w:lineRule="auto"/>
        <w:rPr>
          <w:sz w:val="24"/>
          <w:szCs w:val="24"/>
        </w:rPr>
      </w:pPr>
      <w:r>
        <w:rPr>
          <w:sz w:val="24"/>
          <w:szCs w:val="24"/>
        </w:rPr>
        <w:t>Always do original position minus injured position.</w:t>
      </w:r>
    </w:p>
    <w:p w14:paraId="5B04E136" w14:textId="2A38A4E9" w:rsidR="009C122C" w:rsidRPr="009C122C" w:rsidRDefault="009C122C" w:rsidP="009C122C">
      <w:pPr>
        <w:pStyle w:val="ListParagraph"/>
        <w:numPr>
          <w:ilvl w:val="1"/>
          <w:numId w:val="21"/>
        </w:numPr>
        <w:spacing w:line="240" w:lineRule="auto"/>
        <w:rPr>
          <w:sz w:val="24"/>
          <w:szCs w:val="24"/>
        </w:rPr>
      </w:pPr>
      <w:r w:rsidRPr="009C122C">
        <w:rPr>
          <w:sz w:val="24"/>
          <w:szCs w:val="24"/>
        </w:rPr>
        <w:t>A subsequent tortious act does not alter the plaintiff’s original position, so damages are not altered thereby for the first tortfeasor. However, the second tortfeasor can make such an argument since the plaintiff’s original position was already altered by the first tortfeasor at the time of the second tortious act. (Jobling 1982 UKHL)</w:t>
      </w:r>
    </w:p>
    <w:p w14:paraId="45FC19D6" w14:textId="59855555" w:rsidR="00A9436E" w:rsidRPr="00A9436E" w:rsidRDefault="00A9436E" w:rsidP="00A9436E">
      <w:pPr>
        <w:pStyle w:val="ListParagraph"/>
        <w:numPr>
          <w:ilvl w:val="1"/>
          <w:numId w:val="21"/>
        </w:numPr>
        <w:spacing w:line="240" w:lineRule="auto"/>
        <w:rPr>
          <w:sz w:val="24"/>
          <w:szCs w:val="24"/>
        </w:rPr>
      </w:pPr>
      <w:r w:rsidRPr="00A9436E">
        <w:rPr>
          <w:sz w:val="24"/>
          <w:szCs w:val="24"/>
        </w:rPr>
        <w:t xml:space="preserve">Crumbling Skull Doctrine: “The defendant is liable for the injuries caused, even if they are extreme, but need not compensate the plaintiff for any debilitating effects of the pre-existing condition which the plaintiff would have experienced anyway.  The defendant is liable for the additional damage but not the pre-existing damage... Likewise, if there is a measurable risk that the pre-existing condition would have detrimentally affected the plaintiff in the future, regardless of the defendant’s negligence, then this can be </w:t>
      </w:r>
      <w:proofErr w:type="gramStart"/>
      <w:r w:rsidRPr="00A9436E">
        <w:rPr>
          <w:sz w:val="24"/>
          <w:szCs w:val="24"/>
        </w:rPr>
        <w:t>taken into account</w:t>
      </w:r>
      <w:proofErr w:type="gramEnd"/>
      <w:r w:rsidRPr="00A9436E">
        <w:rPr>
          <w:sz w:val="24"/>
          <w:szCs w:val="24"/>
        </w:rPr>
        <w:t xml:space="preserve"> in reducing the overall award… This is consistent with the general rule that the plaintiff must be returned to the position he would have </w:t>
      </w:r>
      <w:r w:rsidRPr="00A9436E">
        <w:rPr>
          <w:sz w:val="24"/>
          <w:szCs w:val="24"/>
        </w:rPr>
        <w:lastRenderedPageBreak/>
        <w:t xml:space="preserve">been in, with </w:t>
      </w:r>
      <w:proofErr w:type="gramStart"/>
      <w:r w:rsidRPr="00A9436E">
        <w:rPr>
          <w:sz w:val="24"/>
          <w:szCs w:val="24"/>
        </w:rPr>
        <w:t>all of</w:t>
      </w:r>
      <w:proofErr w:type="gramEnd"/>
      <w:r w:rsidRPr="00A9436E">
        <w:rPr>
          <w:sz w:val="24"/>
          <w:szCs w:val="24"/>
        </w:rPr>
        <w:t xml:space="preserve"> its attendant risks and shortcomings, and not a better position.” (Athey 1996 SCC)</w:t>
      </w:r>
    </w:p>
    <w:p w14:paraId="4EE9D0DB" w14:textId="5D3AFFE3" w:rsidR="00310B6E" w:rsidRPr="007C2E8A" w:rsidRDefault="00310B6E" w:rsidP="008C7899">
      <w:pPr>
        <w:pStyle w:val="ListParagraph"/>
        <w:numPr>
          <w:ilvl w:val="1"/>
          <w:numId w:val="21"/>
        </w:numPr>
        <w:spacing w:line="240" w:lineRule="auto"/>
        <w:rPr>
          <w:sz w:val="24"/>
          <w:szCs w:val="24"/>
        </w:rPr>
      </w:pPr>
      <w:r w:rsidRPr="007C2E8A">
        <w:rPr>
          <w:sz w:val="24"/>
          <w:szCs w:val="24"/>
        </w:rPr>
        <w:t>Adjustments for Contingencies</w:t>
      </w:r>
      <w:r>
        <w:rPr>
          <w:sz w:val="24"/>
          <w:szCs w:val="24"/>
        </w:rPr>
        <w:t xml:space="preserve"> (Athey)</w:t>
      </w:r>
    </w:p>
    <w:p w14:paraId="7AFE3DCB" w14:textId="77777777" w:rsidR="00310B6E" w:rsidRPr="007C2E8A" w:rsidRDefault="00310B6E" w:rsidP="008C7899">
      <w:pPr>
        <w:pStyle w:val="ListParagraph"/>
        <w:numPr>
          <w:ilvl w:val="2"/>
          <w:numId w:val="21"/>
        </w:numPr>
        <w:spacing w:line="240" w:lineRule="auto"/>
        <w:rPr>
          <w:sz w:val="24"/>
          <w:szCs w:val="24"/>
        </w:rPr>
      </w:pPr>
      <w:r w:rsidRPr="007C2E8A">
        <w:rPr>
          <w:sz w:val="24"/>
          <w:szCs w:val="24"/>
        </w:rPr>
        <w:t>“Hypothetical events such as how the plaintiff's life would have proceeded without the tortious injury or future events need not be proven on a balance of probabilities. Instead, they are simply given weight according to their relative likelihood.”</w:t>
      </w:r>
    </w:p>
    <w:p w14:paraId="06958598" w14:textId="77777777" w:rsidR="00310B6E" w:rsidRDefault="00310B6E" w:rsidP="008C7899">
      <w:pPr>
        <w:pStyle w:val="ListParagraph"/>
        <w:numPr>
          <w:ilvl w:val="2"/>
          <w:numId w:val="21"/>
        </w:numPr>
        <w:spacing w:line="240" w:lineRule="auto"/>
        <w:rPr>
          <w:sz w:val="24"/>
          <w:szCs w:val="24"/>
        </w:rPr>
      </w:pPr>
      <w:r w:rsidRPr="007C2E8A">
        <w:rPr>
          <w:sz w:val="24"/>
          <w:szCs w:val="24"/>
        </w:rPr>
        <w:t>“A future or hypothetical possibility will be taken into consideration as long as it is a real and substantial possibility and not mere speculation.”</w:t>
      </w:r>
    </w:p>
    <w:p w14:paraId="2BBDA52F" w14:textId="4905CCE1" w:rsidR="00A9436E" w:rsidRPr="007C2E8A" w:rsidRDefault="00A9436E" w:rsidP="00A9436E">
      <w:pPr>
        <w:pStyle w:val="ListParagraph"/>
        <w:numPr>
          <w:ilvl w:val="3"/>
          <w:numId w:val="21"/>
        </w:numPr>
        <w:spacing w:line="240" w:lineRule="auto"/>
        <w:rPr>
          <w:sz w:val="24"/>
          <w:szCs w:val="24"/>
        </w:rPr>
      </w:pPr>
      <w:r w:rsidRPr="00A9436E">
        <w:rPr>
          <w:sz w:val="24"/>
          <w:szCs w:val="24"/>
        </w:rPr>
        <w:t>For example, if there is a 30 percent chance that the plaintiff’s injuries will worsen, then the damage award may be increased by 30 percent of the anticipated extra damages to reflect that risk.”</w:t>
      </w:r>
    </w:p>
    <w:p w14:paraId="3132BA9D" w14:textId="77777777" w:rsidR="00310B6E" w:rsidRPr="007C2E8A" w:rsidRDefault="00310B6E" w:rsidP="008C7899">
      <w:pPr>
        <w:pStyle w:val="ListParagraph"/>
        <w:numPr>
          <w:ilvl w:val="2"/>
          <w:numId w:val="21"/>
        </w:numPr>
        <w:spacing w:line="240" w:lineRule="auto"/>
        <w:rPr>
          <w:sz w:val="24"/>
          <w:szCs w:val="24"/>
        </w:rPr>
      </w:pPr>
      <w:r w:rsidRPr="007C2E8A">
        <w:rPr>
          <w:sz w:val="24"/>
          <w:szCs w:val="24"/>
        </w:rPr>
        <w:t>“By contrast, past events must be proven, and once proven the</w:t>
      </w:r>
      <w:r>
        <w:rPr>
          <w:sz w:val="24"/>
          <w:szCs w:val="24"/>
        </w:rPr>
        <w:t>y are</w:t>
      </w:r>
      <w:r w:rsidRPr="007C2E8A">
        <w:rPr>
          <w:sz w:val="24"/>
          <w:szCs w:val="24"/>
        </w:rPr>
        <w:t xml:space="preserve"> treated as certainties.”</w:t>
      </w:r>
    </w:p>
    <w:p w14:paraId="022DDAD4" w14:textId="77777777" w:rsidR="00310B6E" w:rsidRDefault="00310B6E" w:rsidP="008C7899">
      <w:pPr>
        <w:pStyle w:val="ListParagraph"/>
        <w:numPr>
          <w:ilvl w:val="2"/>
          <w:numId w:val="21"/>
        </w:numPr>
        <w:spacing w:line="240" w:lineRule="auto"/>
        <w:rPr>
          <w:sz w:val="24"/>
          <w:szCs w:val="24"/>
        </w:rPr>
      </w:pPr>
      <w:r w:rsidRPr="007C2E8A">
        <w:rPr>
          <w:sz w:val="24"/>
          <w:szCs w:val="24"/>
        </w:rPr>
        <w:t>Application: The disc herniation occurred prior to trial. It was a past event… The plaintiff has the burden of proving that the injuries sustained in the accidents caused or contributed to the disc herniation. Once the burden of proof is met, causation must be accepted as a certainty.</w:t>
      </w:r>
    </w:p>
    <w:p w14:paraId="6F40171D" w14:textId="585EA880" w:rsidR="008C7899" w:rsidRDefault="005E60E2" w:rsidP="005E60E2">
      <w:pPr>
        <w:pStyle w:val="ListParagraph"/>
        <w:numPr>
          <w:ilvl w:val="0"/>
          <w:numId w:val="21"/>
        </w:numPr>
        <w:spacing w:line="240" w:lineRule="auto"/>
        <w:rPr>
          <w:sz w:val="24"/>
          <w:szCs w:val="24"/>
        </w:rPr>
      </w:pPr>
      <w:r>
        <w:rPr>
          <w:sz w:val="24"/>
          <w:szCs w:val="24"/>
        </w:rPr>
        <w:t xml:space="preserve">Step Two: </w:t>
      </w:r>
      <w:r w:rsidR="008C7899">
        <w:rPr>
          <w:sz w:val="24"/>
          <w:szCs w:val="24"/>
        </w:rPr>
        <w:t xml:space="preserve">Apply any </w:t>
      </w:r>
      <w:r w:rsidR="00AD4AA4">
        <w:rPr>
          <w:sz w:val="24"/>
          <w:szCs w:val="24"/>
        </w:rPr>
        <w:t xml:space="preserve">global </w:t>
      </w:r>
      <w:r w:rsidR="008C7899">
        <w:rPr>
          <w:sz w:val="24"/>
          <w:szCs w:val="24"/>
        </w:rPr>
        <w:t xml:space="preserve">reductions </w:t>
      </w:r>
      <w:r>
        <w:rPr>
          <w:sz w:val="24"/>
          <w:szCs w:val="24"/>
        </w:rPr>
        <w:t xml:space="preserve">to damages due to </w:t>
      </w:r>
      <w:r w:rsidR="008C7899">
        <w:rPr>
          <w:sz w:val="24"/>
          <w:szCs w:val="24"/>
        </w:rPr>
        <w:t>contributory negligence.</w:t>
      </w:r>
    </w:p>
    <w:p w14:paraId="3D55D723" w14:textId="289B8449" w:rsidR="004B290A" w:rsidRDefault="004B290A" w:rsidP="005E60E2">
      <w:pPr>
        <w:pStyle w:val="ListParagraph"/>
        <w:numPr>
          <w:ilvl w:val="0"/>
          <w:numId w:val="21"/>
        </w:numPr>
        <w:spacing w:line="240" w:lineRule="auto"/>
        <w:rPr>
          <w:sz w:val="24"/>
          <w:szCs w:val="24"/>
        </w:rPr>
      </w:pPr>
      <w:r>
        <w:rPr>
          <w:sz w:val="24"/>
          <w:szCs w:val="24"/>
        </w:rPr>
        <w:t>Step Three: Apportionment between plaintiffs.</w:t>
      </w:r>
    </w:p>
    <w:p w14:paraId="50DF1FDA" w14:textId="250828B7" w:rsidR="00A9436E" w:rsidRPr="00A9436E" w:rsidRDefault="005E60E2" w:rsidP="00AD4AA4">
      <w:pPr>
        <w:pStyle w:val="ListParagraph"/>
        <w:numPr>
          <w:ilvl w:val="0"/>
          <w:numId w:val="21"/>
        </w:numPr>
        <w:spacing w:line="240" w:lineRule="auto"/>
        <w:rPr>
          <w:sz w:val="24"/>
          <w:szCs w:val="24"/>
        </w:rPr>
      </w:pPr>
      <w:r>
        <w:rPr>
          <w:sz w:val="24"/>
          <w:szCs w:val="24"/>
        </w:rPr>
        <w:t>Step Three: Apportionment between tortfeasors.</w:t>
      </w:r>
    </w:p>
    <w:p w14:paraId="425E3B1E" w14:textId="77777777" w:rsidR="00AD479D" w:rsidRPr="002B6139" w:rsidRDefault="00AD479D" w:rsidP="00AD479D">
      <w:pPr>
        <w:pStyle w:val="ListParagraph"/>
        <w:numPr>
          <w:ilvl w:val="0"/>
          <w:numId w:val="21"/>
        </w:numPr>
        <w:rPr>
          <w:b/>
          <w:bCs/>
          <w:sz w:val="24"/>
          <w:szCs w:val="24"/>
        </w:rPr>
      </w:pPr>
      <w:r w:rsidRPr="002B6139">
        <w:rPr>
          <w:b/>
          <w:bCs/>
          <w:sz w:val="24"/>
          <w:szCs w:val="24"/>
        </w:rPr>
        <w:t>Negligence Act of Ontario</w:t>
      </w:r>
    </w:p>
    <w:p w14:paraId="340EB322" w14:textId="77777777" w:rsidR="00AD479D" w:rsidRPr="002B6139" w:rsidRDefault="00AD479D" w:rsidP="00AD479D">
      <w:pPr>
        <w:pStyle w:val="ListParagraph"/>
        <w:numPr>
          <w:ilvl w:val="0"/>
          <w:numId w:val="21"/>
        </w:numPr>
        <w:rPr>
          <w:b/>
          <w:bCs/>
          <w:sz w:val="24"/>
          <w:szCs w:val="24"/>
          <w:u w:val="single"/>
        </w:rPr>
      </w:pPr>
      <w:r w:rsidRPr="002B6139">
        <w:rPr>
          <w:b/>
          <w:bCs/>
          <w:sz w:val="24"/>
          <w:szCs w:val="24"/>
          <w:u w:val="single"/>
        </w:rPr>
        <w:t>Extent of liability, remedy over</w:t>
      </w:r>
    </w:p>
    <w:p w14:paraId="32FAF2E6" w14:textId="77777777" w:rsidR="00AD479D" w:rsidRPr="002B6139" w:rsidRDefault="00AD479D" w:rsidP="00AD479D">
      <w:pPr>
        <w:pStyle w:val="ListParagraph"/>
        <w:numPr>
          <w:ilvl w:val="0"/>
          <w:numId w:val="21"/>
        </w:numPr>
        <w:rPr>
          <w:sz w:val="24"/>
          <w:szCs w:val="24"/>
        </w:rPr>
      </w:pPr>
      <w:r w:rsidRPr="002B6139">
        <w:rPr>
          <w:sz w:val="24"/>
          <w:szCs w:val="24"/>
        </w:rPr>
        <w:t>1.  Where damages have been caused or contributed to by the fault or neglect of two or more persons, the court shall determine the degree in which each of such persons is at fault or negligent, and, where two or more persons are found at fault or negligent, they are jointly and severally liable to the person suffering loss or damage for such fault or negligence, but as between themselves, in the absence of any contract express or implied, each is liable to make contribution and indemnify each other in the degree in which they are respectively found to be at fault or negligent.</w:t>
      </w:r>
    </w:p>
    <w:p w14:paraId="60452956" w14:textId="77777777" w:rsidR="00AD479D" w:rsidRPr="002B6139" w:rsidRDefault="00AD479D" w:rsidP="00AD479D">
      <w:pPr>
        <w:pStyle w:val="ListParagraph"/>
        <w:numPr>
          <w:ilvl w:val="0"/>
          <w:numId w:val="21"/>
        </w:numPr>
        <w:rPr>
          <w:b/>
          <w:bCs/>
          <w:sz w:val="24"/>
          <w:szCs w:val="24"/>
          <w:u w:val="single"/>
        </w:rPr>
      </w:pPr>
      <w:r w:rsidRPr="002B6139">
        <w:rPr>
          <w:b/>
          <w:bCs/>
          <w:sz w:val="24"/>
          <w:szCs w:val="24"/>
          <w:u w:val="single"/>
        </w:rPr>
        <w:t>Recovery as between tortfeasors</w:t>
      </w:r>
    </w:p>
    <w:p w14:paraId="191128FD" w14:textId="26BD01BC" w:rsidR="00AD479D" w:rsidRDefault="00AD479D" w:rsidP="00AD479D">
      <w:pPr>
        <w:pStyle w:val="ListParagraph"/>
        <w:numPr>
          <w:ilvl w:val="0"/>
          <w:numId w:val="21"/>
        </w:numPr>
        <w:rPr>
          <w:sz w:val="24"/>
          <w:szCs w:val="24"/>
        </w:rPr>
      </w:pPr>
      <w:r w:rsidRPr="002B6139">
        <w:rPr>
          <w:sz w:val="24"/>
          <w:szCs w:val="24"/>
        </w:rPr>
        <w:t xml:space="preserve">2.  A tortfeasor may recover contribution or indemnity from any other tortfeasor who is, or would if sued have been, liable in respect of the damage to any person suffering damage as a result of a tort by settling with the person suffering such damage, and thereafter commencing or continuing action against such other tortfeasor, in which event the tortfeasor settling the damage shall satisfy the court that the amount of the settlement was reasonable, and in the event that the court finds the amount of the settlement was excessive it may fix the amount at which the claim should have been settled. </w:t>
      </w:r>
    </w:p>
    <w:p w14:paraId="51BEDF71" w14:textId="77777777" w:rsidR="00E00C34" w:rsidRPr="00996456" w:rsidRDefault="00E00C34" w:rsidP="00E00C34">
      <w:pPr>
        <w:pStyle w:val="ListParagraph"/>
        <w:numPr>
          <w:ilvl w:val="0"/>
          <w:numId w:val="21"/>
        </w:numPr>
        <w:rPr>
          <w:sz w:val="24"/>
          <w:szCs w:val="24"/>
        </w:rPr>
      </w:pPr>
      <w:r w:rsidRPr="00996456">
        <w:rPr>
          <w:sz w:val="24"/>
          <w:szCs w:val="24"/>
        </w:rPr>
        <w:lastRenderedPageBreak/>
        <w:t xml:space="preserve">(3) In any action for damages that is founded upon the fault or negligence of the </w:t>
      </w:r>
      <w:proofErr w:type="gramStart"/>
      <w:r w:rsidRPr="00996456">
        <w:rPr>
          <w:sz w:val="24"/>
          <w:szCs w:val="24"/>
        </w:rPr>
        <w:t>defendant[</w:t>
      </w:r>
      <w:proofErr w:type="gramEnd"/>
      <w:r w:rsidRPr="00996456">
        <w:rPr>
          <w:sz w:val="24"/>
          <w:szCs w:val="24"/>
        </w:rPr>
        <w:t xml:space="preserve">,] if fault or negligence is found on the part of the plaintiff that contributed to the </w:t>
      </w:r>
      <w:proofErr w:type="gramStart"/>
      <w:r w:rsidRPr="00996456">
        <w:rPr>
          <w:sz w:val="24"/>
          <w:szCs w:val="24"/>
        </w:rPr>
        <w:t>damages[</w:t>
      </w:r>
      <w:proofErr w:type="gramEnd"/>
      <w:r w:rsidRPr="00996456">
        <w:rPr>
          <w:sz w:val="24"/>
          <w:szCs w:val="24"/>
        </w:rPr>
        <w:t>,] the court shall apportion the damages in proportion to the degree of fault or negligence found against the parties respectively.</w:t>
      </w:r>
    </w:p>
    <w:p w14:paraId="228EDA47" w14:textId="77777777" w:rsidR="00E00C34" w:rsidRPr="00996456" w:rsidRDefault="00E00C34" w:rsidP="00E00C34">
      <w:pPr>
        <w:pStyle w:val="ListParagraph"/>
        <w:numPr>
          <w:ilvl w:val="0"/>
          <w:numId w:val="21"/>
        </w:numPr>
        <w:rPr>
          <w:sz w:val="24"/>
          <w:szCs w:val="24"/>
        </w:rPr>
      </w:pPr>
      <w:r w:rsidRPr="00996456">
        <w:rPr>
          <w:sz w:val="24"/>
          <w:szCs w:val="24"/>
        </w:rPr>
        <w:t xml:space="preserve">(4) If it is not practicable to determine the respective degree of fault or negligence as between any parties to an </w:t>
      </w:r>
      <w:proofErr w:type="gramStart"/>
      <w:r w:rsidRPr="00996456">
        <w:rPr>
          <w:sz w:val="24"/>
          <w:szCs w:val="24"/>
        </w:rPr>
        <w:t>action[</w:t>
      </w:r>
      <w:proofErr w:type="gramEnd"/>
      <w:r w:rsidRPr="00996456">
        <w:rPr>
          <w:sz w:val="24"/>
          <w:szCs w:val="24"/>
        </w:rPr>
        <w:t>,] such parties shall be deemed to be equally at fault or negligent.</w:t>
      </w:r>
    </w:p>
    <w:p w14:paraId="5D58A2AB" w14:textId="77777777" w:rsidR="00E00C34" w:rsidRPr="00996456" w:rsidRDefault="00E00C34" w:rsidP="00E00C34">
      <w:pPr>
        <w:pStyle w:val="ListParagraph"/>
        <w:numPr>
          <w:ilvl w:val="0"/>
          <w:numId w:val="21"/>
        </w:numPr>
        <w:rPr>
          <w:sz w:val="24"/>
          <w:szCs w:val="24"/>
        </w:rPr>
      </w:pPr>
      <w:r w:rsidRPr="00996456">
        <w:rPr>
          <w:sz w:val="24"/>
          <w:szCs w:val="24"/>
        </w:rPr>
        <w:t>(6) In any action tried with a jury the degree of fault or negligence of the respective parties is a question of fact for the jury.</w:t>
      </w:r>
    </w:p>
    <w:p w14:paraId="3E8971CD" w14:textId="20102767" w:rsidR="00E00C34" w:rsidRPr="00E00C34" w:rsidRDefault="00E00C34" w:rsidP="00E00C34">
      <w:pPr>
        <w:pStyle w:val="ListParagraph"/>
        <w:numPr>
          <w:ilvl w:val="0"/>
          <w:numId w:val="21"/>
        </w:numPr>
        <w:rPr>
          <w:sz w:val="24"/>
          <w:szCs w:val="24"/>
        </w:rPr>
      </w:pPr>
      <w:r w:rsidRPr="00996456">
        <w:rPr>
          <w:sz w:val="24"/>
          <w:szCs w:val="24"/>
        </w:rPr>
        <w:t xml:space="preserve">(7) Where the damages are occasioned by the fault or negligence of more than one </w:t>
      </w:r>
      <w:proofErr w:type="gramStart"/>
      <w:r w:rsidRPr="00996456">
        <w:rPr>
          <w:sz w:val="24"/>
          <w:szCs w:val="24"/>
        </w:rPr>
        <w:t>party[</w:t>
      </w:r>
      <w:proofErr w:type="gramEnd"/>
      <w:r w:rsidRPr="00996456">
        <w:rPr>
          <w:sz w:val="24"/>
          <w:szCs w:val="24"/>
        </w:rPr>
        <w:t>,] the court has power to direct that the plaintiff shall bear some portion of the costs if the circumstances render this just.</w:t>
      </w:r>
    </w:p>
    <w:p w14:paraId="2DBC7E8F" w14:textId="27351761" w:rsidR="00816E26" w:rsidRPr="00816E26" w:rsidRDefault="00816E26" w:rsidP="00816E26">
      <w:pPr>
        <w:pStyle w:val="Heading1"/>
      </w:pPr>
      <w:r>
        <w:t>CONCLUSION (REMEMBER TO DO THIS)</w:t>
      </w:r>
    </w:p>
    <w:sectPr w:rsidR="00816E26" w:rsidRPr="00816E2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1B1C" w14:textId="77777777" w:rsidR="00771C84" w:rsidRDefault="00771C84" w:rsidP="001229B6">
      <w:pPr>
        <w:spacing w:after="0" w:line="240" w:lineRule="auto"/>
      </w:pPr>
      <w:r>
        <w:separator/>
      </w:r>
    </w:p>
  </w:endnote>
  <w:endnote w:type="continuationSeparator" w:id="0">
    <w:p w14:paraId="0E3FA1FE" w14:textId="77777777" w:rsidR="00771C84" w:rsidRDefault="00771C84" w:rsidP="0012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E5FD" w14:textId="77777777" w:rsidR="00771C84" w:rsidRDefault="00771C84" w:rsidP="001229B6">
      <w:pPr>
        <w:spacing w:after="0" w:line="240" w:lineRule="auto"/>
      </w:pPr>
      <w:r>
        <w:separator/>
      </w:r>
    </w:p>
  </w:footnote>
  <w:footnote w:type="continuationSeparator" w:id="0">
    <w:p w14:paraId="1EA2798F" w14:textId="77777777" w:rsidR="00771C84" w:rsidRDefault="00771C84" w:rsidP="0012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65075991"/>
      <w:docPartObj>
        <w:docPartGallery w:val="Page Numbers (Top of Page)"/>
        <w:docPartUnique/>
      </w:docPartObj>
    </w:sdtPr>
    <w:sdtEndPr>
      <w:rPr>
        <w:b/>
        <w:bCs/>
        <w:noProof/>
        <w:color w:val="auto"/>
        <w:spacing w:val="0"/>
      </w:rPr>
    </w:sdtEndPr>
    <w:sdtContent>
      <w:p w14:paraId="52BB98DC" w14:textId="2687D64C" w:rsidR="001229B6" w:rsidRDefault="001229B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EAE60C4" w14:textId="77777777" w:rsidR="001229B6" w:rsidRDefault="00122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496"/>
    <w:multiLevelType w:val="hybridMultilevel"/>
    <w:tmpl w:val="10A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1357"/>
    <w:multiLevelType w:val="hybridMultilevel"/>
    <w:tmpl w:val="43C407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921FCD"/>
    <w:multiLevelType w:val="hybridMultilevel"/>
    <w:tmpl w:val="429235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5C368E"/>
    <w:multiLevelType w:val="hybridMultilevel"/>
    <w:tmpl w:val="46A22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3F481F"/>
    <w:multiLevelType w:val="hybridMultilevel"/>
    <w:tmpl w:val="613838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D1535"/>
    <w:multiLevelType w:val="hybridMultilevel"/>
    <w:tmpl w:val="7F94B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BF637B"/>
    <w:multiLevelType w:val="hybridMultilevel"/>
    <w:tmpl w:val="80DE5A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6B1640"/>
    <w:multiLevelType w:val="hybridMultilevel"/>
    <w:tmpl w:val="8752C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D40D20"/>
    <w:multiLevelType w:val="hybridMultilevel"/>
    <w:tmpl w:val="879835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6205E7"/>
    <w:multiLevelType w:val="hybridMultilevel"/>
    <w:tmpl w:val="613838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041A21"/>
    <w:multiLevelType w:val="hybridMultilevel"/>
    <w:tmpl w:val="2480B4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C32A7A"/>
    <w:multiLevelType w:val="hybridMultilevel"/>
    <w:tmpl w:val="AD38CA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46632D"/>
    <w:multiLevelType w:val="hybridMultilevel"/>
    <w:tmpl w:val="F10848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C2F17"/>
    <w:multiLevelType w:val="hybridMultilevel"/>
    <w:tmpl w:val="96C80F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8C1027"/>
    <w:multiLevelType w:val="hybridMultilevel"/>
    <w:tmpl w:val="C20A89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FF09C3"/>
    <w:multiLevelType w:val="hybridMultilevel"/>
    <w:tmpl w:val="3E408F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3A6A34"/>
    <w:multiLevelType w:val="hybridMultilevel"/>
    <w:tmpl w:val="322064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8464F2"/>
    <w:multiLevelType w:val="hybridMultilevel"/>
    <w:tmpl w:val="AA90C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82496B"/>
    <w:multiLevelType w:val="hybridMultilevel"/>
    <w:tmpl w:val="4FAE3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F66AE8"/>
    <w:multiLevelType w:val="hybridMultilevel"/>
    <w:tmpl w:val="3C749F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E45F36"/>
    <w:multiLevelType w:val="hybridMultilevel"/>
    <w:tmpl w:val="CB3A2D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607531"/>
    <w:multiLevelType w:val="hybridMultilevel"/>
    <w:tmpl w:val="2F0087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B921E9"/>
    <w:multiLevelType w:val="hybridMultilevel"/>
    <w:tmpl w:val="1D1ABF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AD3217"/>
    <w:multiLevelType w:val="hybridMultilevel"/>
    <w:tmpl w:val="73946C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C9E6C27"/>
    <w:multiLevelType w:val="hybridMultilevel"/>
    <w:tmpl w:val="D5B072B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FC6D13"/>
    <w:multiLevelType w:val="hybridMultilevel"/>
    <w:tmpl w:val="7CBC9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F82F55"/>
    <w:multiLevelType w:val="hybridMultilevel"/>
    <w:tmpl w:val="6D70D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BD67D06">
      <w:start w:val="1"/>
      <w:numFmt w:val="bullet"/>
      <w:lvlText w:val="-"/>
      <w:lvlJc w:val="left"/>
      <w:pPr>
        <w:ind w:left="36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1B7A89"/>
    <w:multiLevelType w:val="hybridMultilevel"/>
    <w:tmpl w:val="613838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AD22BC"/>
    <w:multiLevelType w:val="hybridMultilevel"/>
    <w:tmpl w:val="84A662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47F1ECC"/>
    <w:multiLevelType w:val="hybridMultilevel"/>
    <w:tmpl w:val="81CE45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A25312"/>
    <w:multiLevelType w:val="hybridMultilevel"/>
    <w:tmpl w:val="1FE037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690ADA"/>
    <w:multiLevelType w:val="hybridMultilevel"/>
    <w:tmpl w:val="02CCB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AF1DE2"/>
    <w:multiLevelType w:val="hybridMultilevel"/>
    <w:tmpl w:val="5EA2C8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BD3EB9"/>
    <w:multiLevelType w:val="hybridMultilevel"/>
    <w:tmpl w:val="935A68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5F3CA0"/>
    <w:multiLevelType w:val="hybridMultilevel"/>
    <w:tmpl w:val="F760BE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2952796">
    <w:abstractNumId w:val="6"/>
  </w:num>
  <w:num w:numId="2" w16cid:durableId="435367434">
    <w:abstractNumId w:val="30"/>
  </w:num>
  <w:num w:numId="3" w16cid:durableId="261845509">
    <w:abstractNumId w:val="1"/>
  </w:num>
  <w:num w:numId="4" w16cid:durableId="2059548370">
    <w:abstractNumId w:val="24"/>
  </w:num>
  <w:num w:numId="5" w16cid:durableId="564998322">
    <w:abstractNumId w:val="19"/>
  </w:num>
  <w:num w:numId="6" w16cid:durableId="1510365420">
    <w:abstractNumId w:val="9"/>
  </w:num>
  <w:num w:numId="7" w16cid:durableId="1093165376">
    <w:abstractNumId w:val="11"/>
  </w:num>
  <w:num w:numId="8" w16cid:durableId="1066031551">
    <w:abstractNumId w:val="27"/>
  </w:num>
  <w:num w:numId="9" w16cid:durableId="1623074556">
    <w:abstractNumId w:val="20"/>
  </w:num>
  <w:num w:numId="10" w16cid:durableId="2135100914">
    <w:abstractNumId w:val="15"/>
  </w:num>
  <w:num w:numId="11" w16cid:durableId="998775102">
    <w:abstractNumId w:val="2"/>
  </w:num>
  <w:num w:numId="12" w16cid:durableId="2077242567">
    <w:abstractNumId w:val="32"/>
  </w:num>
  <w:num w:numId="13" w16cid:durableId="1539245795">
    <w:abstractNumId w:val="26"/>
  </w:num>
  <w:num w:numId="14" w16cid:durableId="1721977483">
    <w:abstractNumId w:val="33"/>
  </w:num>
  <w:num w:numId="15" w16cid:durableId="1783306959">
    <w:abstractNumId w:val="12"/>
  </w:num>
  <w:num w:numId="16" w16cid:durableId="1895699838">
    <w:abstractNumId w:val="14"/>
  </w:num>
  <w:num w:numId="17" w16cid:durableId="413016189">
    <w:abstractNumId w:val="4"/>
  </w:num>
  <w:num w:numId="18" w16cid:durableId="1697000481">
    <w:abstractNumId w:val="17"/>
  </w:num>
  <w:num w:numId="19" w16cid:durableId="702831246">
    <w:abstractNumId w:val="21"/>
  </w:num>
  <w:num w:numId="20" w16cid:durableId="1105920832">
    <w:abstractNumId w:val="28"/>
  </w:num>
  <w:num w:numId="21" w16cid:durableId="1893810846">
    <w:abstractNumId w:val="31"/>
  </w:num>
  <w:num w:numId="22" w16cid:durableId="405612560">
    <w:abstractNumId w:val="7"/>
  </w:num>
  <w:num w:numId="23" w16cid:durableId="1287077217">
    <w:abstractNumId w:val="29"/>
  </w:num>
  <w:num w:numId="24" w16cid:durableId="949511356">
    <w:abstractNumId w:val="23"/>
  </w:num>
  <w:num w:numId="25" w16cid:durableId="1524593185">
    <w:abstractNumId w:val="8"/>
  </w:num>
  <w:num w:numId="26" w16cid:durableId="866255111">
    <w:abstractNumId w:val="5"/>
  </w:num>
  <w:num w:numId="27" w16cid:durableId="956377948">
    <w:abstractNumId w:val="13"/>
  </w:num>
  <w:num w:numId="28" w16cid:durableId="1413816892">
    <w:abstractNumId w:val="3"/>
  </w:num>
  <w:num w:numId="29" w16cid:durableId="553662150">
    <w:abstractNumId w:val="34"/>
  </w:num>
  <w:num w:numId="30" w16cid:durableId="876503003">
    <w:abstractNumId w:val="10"/>
  </w:num>
  <w:num w:numId="31" w16cid:durableId="701707049">
    <w:abstractNumId w:val="22"/>
  </w:num>
  <w:num w:numId="32" w16cid:durableId="737050520">
    <w:abstractNumId w:val="16"/>
  </w:num>
  <w:num w:numId="33" w16cid:durableId="1291932058">
    <w:abstractNumId w:val="18"/>
  </w:num>
  <w:num w:numId="34" w16cid:durableId="70736220">
    <w:abstractNumId w:val="25"/>
  </w:num>
  <w:num w:numId="35" w16cid:durableId="7622594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23"/>
    <w:rsid w:val="00002419"/>
    <w:rsid w:val="00005740"/>
    <w:rsid w:val="00010565"/>
    <w:rsid w:val="00010F8B"/>
    <w:rsid w:val="00012207"/>
    <w:rsid w:val="00012921"/>
    <w:rsid w:val="00014213"/>
    <w:rsid w:val="00015A01"/>
    <w:rsid w:val="0001731C"/>
    <w:rsid w:val="00020BE8"/>
    <w:rsid w:val="000213DD"/>
    <w:rsid w:val="000263C1"/>
    <w:rsid w:val="0003161A"/>
    <w:rsid w:val="00036364"/>
    <w:rsid w:val="00036ED9"/>
    <w:rsid w:val="0004262F"/>
    <w:rsid w:val="00047765"/>
    <w:rsid w:val="00054C49"/>
    <w:rsid w:val="00060CFA"/>
    <w:rsid w:val="0006194F"/>
    <w:rsid w:val="00064AF0"/>
    <w:rsid w:val="000651CE"/>
    <w:rsid w:val="000672AB"/>
    <w:rsid w:val="00067802"/>
    <w:rsid w:val="00071E75"/>
    <w:rsid w:val="00076290"/>
    <w:rsid w:val="0008126A"/>
    <w:rsid w:val="00081C7F"/>
    <w:rsid w:val="000838B9"/>
    <w:rsid w:val="000847A0"/>
    <w:rsid w:val="000855C5"/>
    <w:rsid w:val="00086129"/>
    <w:rsid w:val="00090F44"/>
    <w:rsid w:val="00092FA9"/>
    <w:rsid w:val="00093123"/>
    <w:rsid w:val="000951BB"/>
    <w:rsid w:val="000A0317"/>
    <w:rsid w:val="000A511D"/>
    <w:rsid w:val="000A62CE"/>
    <w:rsid w:val="000B02DC"/>
    <w:rsid w:val="000B3A49"/>
    <w:rsid w:val="000B51BE"/>
    <w:rsid w:val="000B698C"/>
    <w:rsid w:val="000B6BA3"/>
    <w:rsid w:val="000B78B7"/>
    <w:rsid w:val="000C0873"/>
    <w:rsid w:val="000C27D8"/>
    <w:rsid w:val="000C57AE"/>
    <w:rsid w:val="000C68AE"/>
    <w:rsid w:val="000D33F0"/>
    <w:rsid w:val="000D64FB"/>
    <w:rsid w:val="000D760B"/>
    <w:rsid w:val="000E27DD"/>
    <w:rsid w:val="000E47D3"/>
    <w:rsid w:val="000E7468"/>
    <w:rsid w:val="000F5EFF"/>
    <w:rsid w:val="00101306"/>
    <w:rsid w:val="00103DB8"/>
    <w:rsid w:val="00104A01"/>
    <w:rsid w:val="00105D14"/>
    <w:rsid w:val="0010644A"/>
    <w:rsid w:val="00110953"/>
    <w:rsid w:val="00111975"/>
    <w:rsid w:val="00114680"/>
    <w:rsid w:val="001173AD"/>
    <w:rsid w:val="00120D16"/>
    <w:rsid w:val="0012128F"/>
    <w:rsid w:val="00121EE9"/>
    <w:rsid w:val="001229B6"/>
    <w:rsid w:val="001273C7"/>
    <w:rsid w:val="0012792C"/>
    <w:rsid w:val="00131B04"/>
    <w:rsid w:val="001375EB"/>
    <w:rsid w:val="00142A9E"/>
    <w:rsid w:val="00145440"/>
    <w:rsid w:val="001460B7"/>
    <w:rsid w:val="0014780B"/>
    <w:rsid w:val="00147E10"/>
    <w:rsid w:val="00150053"/>
    <w:rsid w:val="00152671"/>
    <w:rsid w:val="00154BA1"/>
    <w:rsid w:val="00155F39"/>
    <w:rsid w:val="00157903"/>
    <w:rsid w:val="001627B5"/>
    <w:rsid w:val="00165DA4"/>
    <w:rsid w:val="0017023A"/>
    <w:rsid w:val="001706FB"/>
    <w:rsid w:val="00171086"/>
    <w:rsid w:val="0017469D"/>
    <w:rsid w:val="001756E2"/>
    <w:rsid w:val="001813B3"/>
    <w:rsid w:val="00192CDA"/>
    <w:rsid w:val="001970EB"/>
    <w:rsid w:val="001A0305"/>
    <w:rsid w:val="001A4598"/>
    <w:rsid w:val="001A4FE2"/>
    <w:rsid w:val="001A5C95"/>
    <w:rsid w:val="001C00EB"/>
    <w:rsid w:val="001C3413"/>
    <w:rsid w:val="001C5E32"/>
    <w:rsid w:val="001C6F29"/>
    <w:rsid w:val="001D7EDD"/>
    <w:rsid w:val="001E293A"/>
    <w:rsid w:val="001E3D34"/>
    <w:rsid w:val="001E5284"/>
    <w:rsid w:val="001F2517"/>
    <w:rsid w:val="001F429D"/>
    <w:rsid w:val="001F6279"/>
    <w:rsid w:val="001F764D"/>
    <w:rsid w:val="00201B89"/>
    <w:rsid w:val="00201F71"/>
    <w:rsid w:val="00202B34"/>
    <w:rsid w:val="00205E27"/>
    <w:rsid w:val="0020606A"/>
    <w:rsid w:val="00206BAD"/>
    <w:rsid w:val="002138F7"/>
    <w:rsid w:val="00220AD5"/>
    <w:rsid w:val="00220C72"/>
    <w:rsid w:val="00221B0A"/>
    <w:rsid w:val="00225630"/>
    <w:rsid w:val="0023236A"/>
    <w:rsid w:val="00252C09"/>
    <w:rsid w:val="00256B1B"/>
    <w:rsid w:val="00257674"/>
    <w:rsid w:val="00260A7E"/>
    <w:rsid w:val="002633D2"/>
    <w:rsid w:val="00270195"/>
    <w:rsid w:val="00270494"/>
    <w:rsid w:val="00277058"/>
    <w:rsid w:val="00281E54"/>
    <w:rsid w:val="00282137"/>
    <w:rsid w:val="00284EE4"/>
    <w:rsid w:val="00285959"/>
    <w:rsid w:val="00285FC1"/>
    <w:rsid w:val="002871A5"/>
    <w:rsid w:val="00290F5A"/>
    <w:rsid w:val="0029116A"/>
    <w:rsid w:val="002966F4"/>
    <w:rsid w:val="002A4C04"/>
    <w:rsid w:val="002A536D"/>
    <w:rsid w:val="002A5D3C"/>
    <w:rsid w:val="002A791C"/>
    <w:rsid w:val="002B3781"/>
    <w:rsid w:val="002B5465"/>
    <w:rsid w:val="002B6139"/>
    <w:rsid w:val="002B661B"/>
    <w:rsid w:val="002B751E"/>
    <w:rsid w:val="002C0B86"/>
    <w:rsid w:val="002C69B2"/>
    <w:rsid w:val="002E4C47"/>
    <w:rsid w:val="002E6CC7"/>
    <w:rsid w:val="002F2C4F"/>
    <w:rsid w:val="002F32A1"/>
    <w:rsid w:val="002F5F2B"/>
    <w:rsid w:val="0030016D"/>
    <w:rsid w:val="0030146C"/>
    <w:rsid w:val="00302EDB"/>
    <w:rsid w:val="00305BD8"/>
    <w:rsid w:val="00306CC9"/>
    <w:rsid w:val="0030728F"/>
    <w:rsid w:val="00310B6E"/>
    <w:rsid w:val="00313298"/>
    <w:rsid w:val="003168F2"/>
    <w:rsid w:val="00331B1B"/>
    <w:rsid w:val="0033444D"/>
    <w:rsid w:val="0033607C"/>
    <w:rsid w:val="0034174A"/>
    <w:rsid w:val="00341B22"/>
    <w:rsid w:val="0034214B"/>
    <w:rsid w:val="00347BC0"/>
    <w:rsid w:val="003519A0"/>
    <w:rsid w:val="00352376"/>
    <w:rsid w:val="00352BFB"/>
    <w:rsid w:val="00354DFB"/>
    <w:rsid w:val="00356D12"/>
    <w:rsid w:val="00360ABF"/>
    <w:rsid w:val="00361FD6"/>
    <w:rsid w:val="00363ED4"/>
    <w:rsid w:val="003653D2"/>
    <w:rsid w:val="00365EC0"/>
    <w:rsid w:val="00367A26"/>
    <w:rsid w:val="003738CA"/>
    <w:rsid w:val="0037469D"/>
    <w:rsid w:val="0038006A"/>
    <w:rsid w:val="0038034D"/>
    <w:rsid w:val="003803B0"/>
    <w:rsid w:val="00383CED"/>
    <w:rsid w:val="0038479E"/>
    <w:rsid w:val="00394904"/>
    <w:rsid w:val="003960B3"/>
    <w:rsid w:val="003A3641"/>
    <w:rsid w:val="003A6F35"/>
    <w:rsid w:val="003C0262"/>
    <w:rsid w:val="003C0D91"/>
    <w:rsid w:val="003C5EBB"/>
    <w:rsid w:val="003D0169"/>
    <w:rsid w:val="003D172D"/>
    <w:rsid w:val="003D2AE5"/>
    <w:rsid w:val="003D7424"/>
    <w:rsid w:val="003E0403"/>
    <w:rsid w:val="003E0DB4"/>
    <w:rsid w:val="003F004B"/>
    <w:rsid w:val="003F16FC"/>
    <w:rsid w:val="003F17ED"/>
    <w:rsid w:val="003F2B9F"/>
    <w:rsid w:val="003F484C"/>
    <w:rsid w:val="004039B2"/>
    <w:rsid w:val="00403CAA"/>
    <w:rsid w:val="00413541"/>
    <w:rsid w:val="00414B81"/>
    <w:rsid w:val="004173B9"/>
    <w:rsid w:val="004175DC"/>
    <w:rsid w:val="004278B1"/>
    <w:rsid w:val="0043343F"/>
    <w:rsid w:val="00434ABE"/>
    <w:rsid w:val="00435360"/>
    <w:rsid w:val="00447394"/>
    <w:rsid w:val="004527E0"/>
    <w:rsid w:val="004560EB"/>
    <w:rsid w:val="0045633C"/>
    <w:rsid w:val="00456554"/>
    <w:rsid w:val="00471F85"/>
    <w:rsid w:val="0047708D"/>
    <w:rsid w:val="00482284"/>
    <w:rsid w:val="00482738"/>
    <w:rsid w:val="00490F43"/>
    <w:rsid w:val="004930AB"/>
    <w:rsid w:val="004967AB"/>
    <w:rsid w:val="004A562C"/>
    <w:rsid w:val="004B290A"/>
    <w:rsid w:val="004B3D0C"/>
    <w:rsid w:val="004B5532"/>
    <w:rsid w:val="004B76B0"/>
    <w:rsid w:val="004C0C25"/>
    <w:rsid w:val="004C4107"/>
    <w:rsid w:val="004C6F64"/>
    <w:rsid w:val="004C7BB3"/>
    <w:rsid w:val="004D0085"/>
    <w:rsid w:val="004D0A6C"/>
    <w:rsid w:val="004D3443"/>
    <w:rsid w:val="004D5532"/>
    <w:rsid w:val="004D5EED"/>
    <w:rsid w:val="004D73CD"/>
    <w:rsid w:val="004D7E38"/>
    <w:rsid w:val="004E1EFD"/>
    <w:rsid w:val="004E26C6"/>
    <w:rsid w:val="004E371B"/>
    <w:rsid w:val="004E5CC4"/>
    <w:rsid w:val="004F0964"/>
    <w:rsid w:val="004F2B81"/>
    <w:rsid w:val="004F3AC4"/>
    <w:rsid w:val="004F4C3E"/>
    <w:rsid w:val="004F5936"/>
    <w:rsid w:val="00500ABD"/>
    <w:rsid w:val="00500FAA"/>
    <w:rsid w:val="005035F1"/>
    <w:rsid w:val="00511FB0"/>
    <w:rsid w:val="00516928"/>
    <w:rsid w:val="005214BB"/>
    <w:rsid w:val="0052230B"/>
    <w:rsid w:val="0053586F"/>
    <w:rsid w:val="005403F3"/>
    <w:rsid w:val="00544466"/>
    <w:rsid w:val="00544BD0"/>
    <w:rsid w:val="00545C6C"/>
    <w:rsid w:val="005464C4"/>
    <w:rsid w:val="00547EA9"/>
    <w:rsid w:val="00554538"/>
    <w:rsid w:val="005557A3"/>
    <w:rsid w:val="005801B8"/>
    <w:rsid w:val="00591052"/>
    <w:rsid w:val="00592469"/>
    <w:rsid w:val="00596187"/>
    <w:rsid w:val="005A11CE"/>
    <w:rsid w:val="005A11FD"/>
    <w:rsid w:val="005A4C92"/>
    <w:rsid w:val="005B20A2"/>
    <w:rsid w:val="005B781A"/>
    <w:rsid w:val="005B7F32"/>
    <w:rsid w:val="005C1246"/>
    <w:rsid w:val="005C162E"/>
    <w:rsid w:val="005C1E7E"/>
    <w:rsid w:val="005C5576"/>
    <w:rsid w:val="005C61EA"/>
    <w:rsid w:val="005D1546"/>
    <w:rsid w:val="005D35AA"/>
    <w:rsid w:val="005E23E8"/>
    <w:rsid w:val="005E30CB"/>
    <w:rsid w:val="005E3532"/>
    <w:rsid w:val="005E39AD"/>
    <w:rsid w:val="005E5043"/>
    <w:rsid w:val="005E60E2"/>
    <w:rsid w:val="005F0508"/>
    <w:rsid w:val="005F7BAA"/>
    <w:rsid w:val="00600B4F"/>
    <w:rsid w:val="00605BDB"/>
    <w:rsid w:val="006143ED"/>
    <w:rsid w:val="00615F74"/>
    <w:rsid w:val="006206B9"/>
    <w:rsid w:val="00630937"/>
    <w:rsid w:val="00631D9C"/>
    <w:rsid w:val="00633886"/>
    <w:rsid w:val="00634F5E"/>
    <w:rsid w:val="006412D1"/>
    <w:rsid w:val="00642C2B"/>
    <w:rsid w:val="00650077"/>
    <w:rsid w:val="00650DF4"/>
    <w:rsid w:val="00652778"/>
    <w:rsid w:val="00655249"/>
    <w:rsid w:val="00662F73"/>
    <w:rsid w:val="0066635A"/>
    <w:rsid w:val="006672B6"/>
    <w:rsid w:val="0067188A"/>
    <w:rsid w:val="006734EC"/>
    <w:rsid w:val="00675687"/>
    <w:rsid w:val="006762C3"/>
    <w:rsid w:val="00676A1E"/>
    <w:rsid w:val="00677747"/>
    <w:rsid w:val="00680961"/>
    <w:rsid w:val="0068223F"/>
    <w:rsid w:val="00695DDF"/>
    <w:rsid w:val="0069727A"/>
    <w:rsid w:val="00697FC0"/>
    <w:rsid w:val="006A175D"/>
    <w:rsid w:val="006A25BC"/>
    <w:rsid w:val="006B0A54"/>
    <w:rsid w:val="006B1335"/>
    <w:rsid w:val="006B4289"/>
    <w:rsid w:val="006B48C7"/>
    <w:rsid w:val="006B4BA3"/>
    <w:rsid w:val="006C000D"/>
    <w:rsid w:val="006D2535"/>
    <w:rsid w:val="006D26E8"/>
    <w:rsid w:val="006D4238"/>
    <w:rsid w:val="006D4E69"/>
    <w:rsid w:val="006D63AC"/>
    <w:rsid w:val="006D63F4"/>
    <w:rsid w:val="006D6687"/>
    <w:rsid w:val="006D698B"/>
    <w:rsid w:val="006E28A4"/>
    <w:rsid w:val="006E72EB"/>
    <w:rsid w:val="006F23C1"/>
    <w:rsid w:val="006F43BC"/>
    <w:rsid w:val="00701763"/>
    <w:rsid w:val="0070311B"/>
    <w:rsid w:val="00704A8E"/>
    <w:rsid w:val="00704E2E"/>
    <w:rsid w:val="007139FA"/>
    <w:rsid w:val="00714E83"/>
    <w:rsid w:val="00720A6F"/>
    <w:rsid w:val="007212CC"/>
    <w:rsid w:val="007215C8"/>
    <w:rsid w:val="00722F1E"/>
    <w:rsid w:val="00724EB5"/>
    <w:rsid w:val="00725DD7"/>
    <w:rsid w:val="00727609"/>
    <w:rsid w:val="007371F4"/>
    <w:rsid w:val="007373C1"/>
    <w:rsid w:val="00740696"/>
    <w:rsid w:val="00740F7D"/>
    <w:rsid w:val="007437CA"/>
    <w:rsid w:val="00744B35"/>
    <w:rsid w:val="0075012C"/>
    <w:rsid w:val="0075019B"/>
    <w:rsid w:val="007514E2"/>
    <w:rsid w:val="00751FC5"/>
    <w:rsid w:val="007521D5"/>
    <w:rsid w:val="00752998"/>
    <w:rsid w:val="00752CB8"/>
    <w:rsid w:val="007620EF"/>
    <w:rsid w:val="0076505E"/>
    <w:rsid w:val="00771C84"/>
    <w:rsid w:val="00773E35"/>
    <w:rsid w:val="00777523"/>
    <w:rsid w:val="00790D05"/>
    <w:rsid w:val="00791068"/>
    <w:rsid w:val="00793E3F"/>
    <w:rsid w:val="007A4208"/>
    <w:rsid w:val="007A7A25"/>
    <w:rsid w:val="007B2A9B"/>
    <w:rsid w:val="007B474A"/>
    <w:rsid w:val="007B67BB"/>
    <w:rsid w:val="007C1E0E"/>
    <w:rsid w:val="007C2ED2"/>
    <w:rsid w:val="007D2CC9"/>
    <w:rsid w:val="007D794F"/>
    <w:rsid w:val="007E3FBF"/>
    <w:rsid w:val="007E5388"/>
    <w:rsid w:val="007E7869"/>
    <w:rsid w:val="007E7E4E"/>
    <w:rsid w:val="007F084F"/>
    <w:rsid w:val="007F2A2C"/>
    <w:rsid w:val="007F2F3E"/>
    <w:rsid w:val="007F3712"/>
    <w:rsid w:val="007F4F71"/>
    <w:rsid w:val="007F5A7D"/>
    <w:rsid w:val="00800F67"/>
    <w:rsid w:val="00801A53"/>
    <w:rsid w:val="00802739"/>
    <w:rsid w:val="00802805"/>
    <w:rsid w:val="00807709"/>
    <w:rsid w:val="008106EE"/>
    <w:rsid w:val="00814F17"/>
    <w:rsid w:val="0081581D"/>
    <w:rsid w:val="00816E26"/>
    <w:rsid w:val="0082349E"/>
    <w:rsid w:val="008255C9"/>
    <w:rsid w:val="0082602E"/>
    <w:rsid w:val="00827A77"/>
    <w:rsid w:val="00830BE3"/>
    <w:rsid w:val="008316E4"/>
    <w:rsid w:val="00831C60"/>
    <w:rsid w:val="00832988"/>
    <w:rsid w:val="00837FD3"/>
    <w:rsid w:val="00845287"/>
    <w:rsid w:val="008455AE"/>
    <w:rsid w:val="00850A30"/>
    <w:rsid w:val="0085113A"/>
    <w:rsid w:val="00852AF2"/>
    <w:rsid w:val="008574C5"/>
    <w:rsid w:val="00857FD6"/>
    <w:rsid w:val="0086179F"/>
    <w:rsid w:val="00863172"/>
    <w:rsid w:val="008634EA"/>
    <w:rsid w:val="00864F44"/>
    <w:rsid w:val="008652AA"/>
    <w:rsid w:val="008664F8"/>
    <w:rsid w:val="00872D0B"/>
    <w:rsid w:val="0087569C"/>
    <w:rsid w:val="008771DB"/>
    <w:rsid w:val="00881878"/>
    <w:rsid w:val="00882ABB"/>
    <w:rsid w:val="00887B36"/>
    <w:rsid w:val="00890E6F"/>
    <w:rsid w:val="00896476"/>
    <w:rsid w:val="008A0FD3"/>
    <w:rsid w:val="008A563C"/>
    <w:rsid w:val="008A7956"/>
    <w:rsid w:val="008A7CDB"/>
    <w:rsid w:val="008B5149"/>
    <w:rsid w:val="008B54A4"/>
    <w:rsid w:val="008C5CCC"/>
    <w:rsid w:val="008C7899"/>
    <w:rsid w:val="008D1526"/>
    <w:rsid w:val="008E1A80"/>
    <w:rsid w:val="008E4042"/>
    <w:rsid w:val="008F2C1E"/>
    <w:rsid w:val="008F3484"/>
    <w:rsid w:val="008F524D"/>
    <w:rsid w:val="008F52B7"/>
    <w:rsid w:val="008F5B5B"/>
    <w:rsid w:val="008F69D8"/>
    <w:rsid w:val="009070A4"/>
    <w:rsid w:val="00910C0D"/>
    <w:rsid w:val="00915869"/>
    <w:rsid w:val="00925159"/>
    <w:rsid w:val="009272AA"/>
    <w:rsid w:val="009346F9"/>
    <w:rsid w:val="00937650"/>
    <w:rsid w:val="009406BC"/>
    <w:rsid w:val="009450F5"/>
    <w:rsid w:val="00946574"/>
    <w:rsid w:val="00951148"/>
    <w:rsid w:val="00953AF1"/>
    <w:rsid w:val="00955505"/>
    <w:rsid w:val="009600C5"/>
    <w:rsid w:val="00963DC3"/>
    <w:rsid w:val="00964110"/>
    <w:rsid w:val="00967483"/>
    <w:rsid w:val="009679B4"/>
    <w:rsid w:val="0097624D"/>
    <w:rsid w:val="00976960"/>
    <w:rsid w:val="009803FC"/>
    <w:rsid w:val="00984332"/>
    <w:rsid w:val="00984C20"/>
    <w:rsid w:val="00986EB8"/>
    <w:rsid w:val="00996C9E"/>
    <w:rsid w:val="0099737C"/>
    <w:rsid w:val="009A05DC"/>
    <w:rsid w:val="009A2040"/>
    <w:rsid w:val="009A3852"/>
    <w:rsid w:val="009A7AA1"/>
    <w:rsid w:val="009A7AFE"/>
    <w:rsid w:val="009B224C"/>
    <w:rsid w:val="009B25CF"/>
    <w:rsid w:val="009B7787"/>
    <w:rsid w:val="009C0694"/>
    <w:rsid w:val="009C122C"/>
    <w:rsid w:val="009C1A57"/>
    <w:rsid w:val="009D1A37"/>
    <w:rsid w:val="009D1FD8"/>
    <w:rsid w:val="009D7F6A"/>
    <w:rsid w:val="009E2810"/>
    <w:rsid w:val="009E667B"/>
    <w:rsid w:val="009F64C6"/>
    <w:rsid w:val="009F6651"/>
    <w:rsid w:val="009F6C30"/>
    <w:rsid w:val="00A01167"/>
    <w:rsid w:val="00A0197F"/>
    <w:rsid w:val="00A02827"/>
    <w:rsid w:val="00A035F1"/>
    <w:rsid w:val="00A0412D"/>
    <w:rsid w:val="00A0611C"/>
    <w:rsid w:val="00A1026A"/>
    <w:rsid w:val="00A12CD2"/>
    <w:rsid w:val="00A21FFA"/>
    <w:rsid w:val="00A23224"/>
    <w:rsid w:val="00A26F46"/>
    <w:rsid w:val="00A35D98"/>
    <w:rsid w:val="00A4140A"/>
    <w:rsid w:val="00A423BE"/>
    <w:rsid w:val="00A42882"/>
    <w:rsid w:val="00A451EC"/>
    <w:rsid w:val="00A61631"/>
    <w:rsid w:val="00A61DBA"/>
    <w:rsid w:val="00A670B1"/>
    <w:rsid w:val="00A70CF8"/>
    <w:rsid w:val="00A7334E"/>
    <w:rsid w:val="00A746D8"/>
    <w:rsid w:val="00A775EE"/>
    <w:rsid w:val="00A77A10"/>
    <w:rsid w:val="00A83492"/>
    <w:rsid w:val="00A86277"/>
    <w:rsid w:val="00A87534"/>
    <w:rsid w:val="00A91161"/>
    <w:rsid w:val="00A93366"/>
    <w:rsid w:val="00A9436E"/>
    <w:rsid w:val="00A951C8"/>
    <w:rsid w:val="00AA5316"/>
    <w:rsid w:val="00AB05C7"/>
    <w:rsid w:val="00AB1046"/>
    <w:rsid w:val="00AB19C5"/>
    <w:rsid w:val="00AB3A9C"/>
    <w:rsid w:val="00AB3C09"/>
    <w:rsid w:val="00AB45E8"/>
    <w:rsid w:val="00AC17E9"/>
    <w:rsid w:val="00AC5238"/>
    <w:rsid w:val="00AD16CD"/>
    <w:rsid w:val="00AD3324"/>
    <w:rsid w:val="00AD45F9"/>
    <w:rsid w:val="00AD479D"/>
    <w:rsid w:val="00AD4AA4"/>
    <w:rsid w:val="00AE3BA6"/>
    <w:rsid w:val="00AE5E64"/>
    <w:rsid w:val="00AE5FED"/>
    <w:rsid w:val="00AF457D"/>
    <w:rsid w:val="00B002DD"/>
    <w:rsid w:val="00B044D1"/>
    <w:rsid w:val="00B04795"/>
    <w:rsid w:val="00B05C8F"/>
    <w:rsid w:val="00B07688"/>
    <w:rsid w:val="00B07936"/>
    <w:rsid w:val="00B16415"/>
    <w:rsid w:val="00B2129A"/>
    <w:rsid w:val="00B230F1"/>
    <w:rsid w:val="00B258AA"/>
    <w:rsid w:val="00B267FD"/>
    <w:rsid w:val="00B26E26"/>
    <w:rsid w:val="00B2728F"/>
    <w:rsid w:val="00B338F0"/>
    <w:rsid w:val="00B37E41"/>
    <w:rsid w:val="00B4099E"/>
    <w:rsid w:val="00B42CFF"/>
    <w:rsid w:val="00B525CD"/>
    <w:rsid w:val="00B526D0"/>
    <w:rsid w:val="00B548F7"/>
    <w:rsid w:val="00B56C1D"/>
    <w:rsid w:val="00B62293"/>
    <w:rsid w:val="00B65DB7"/>
    <w:rsid w:val="00B711B0"/>
    <w:rsid w:val="00B8136C"/>
    <w:rsid w:val="00B82C24"/>
    <w:rsid w:val="00B833FD"/>
    <w:rsid w:val="00B8409F"/>
    <w:rsid w:val="00B9154E"/>
    <w:rsid w:val="00B93412"/>
    <w:rsid w:val="00B96952"/>
    <w:rsid w:val="00B97737"/>
    <w:rsid w:val="00BA09B5"/>
    <w:rsid w:val="00BA3E58"/>
    <w:rsid w:val="00BB0D8C"/>
    <w:rsid w:val="00BB1E63"/>
    <w:rsid w:val="00BB73EB"/>
    <w:rsid w:val="00BB766C"/>
    <w:rsid w:val="00BB7916"/>
    <w:rsid w:val="00BB7C58"/>
    <w:rsid w:val="00BC12C0"/>
    <w:rsid w:val="00BC1F02"/>
    <w:rsid w:val="00BC6743"/>
    <w:rsid w:val="00BD3E6B"/>
    <w:rsid w:val="00BE0B53"/>
    <w:rsid w:val="00BE1628"/>
    <w:rsid w:val="00BE17E2"/>
    <w:rsid w:val="00BE1836"/>
    <w:rsid w:val="00BE2552"/>
    <w:rsid w:val="00BE2E98"/>
    <w:rsid w:val="00BE3E34"/>
    <w:rsid w:val="00BE4E1C"/>
    <w:rsid w:val="00BE61CB"/>
    <w:rsid w:val="00BF050D"/>
    <w:rsid w:val="00BF2CAB"/>
    <w:rsid w:val="00BF3317"/>
    <w:rsid w:val="00BF4CDC"/>
    <w:rsid w:val="00BF6E79"/>
    <w:rsid w:val="00C15FC8"/>
    <w:rsid w:val="00C20B5D"/>
    <w:rsid w:val="00C35BF6"/>
    <w:rsid w:val="00C370B7"/>
    <w:rsid w:val="00C40B06"/>
    <w:rsid w:val="00C41C38"/>
    <w:rsid w:val="00C433DB"/>
    <w:rsid w:val="00C4452B"/>
    <w:rsid w:val="00C47DA0"/>
    <w:rsid w:val="00C51C28"/>
    <w:rsid w:val="00C534A1"/>
    <w:rsid w:val="00C55C90"/>
    <w:rsid w:val="00C627F3"/>
    <w:rsid w:val="00C63503"/>
    <w:rsid w:val="00C65F40"/>
    <w:rsid w:val="00C757B8"/>
    <w:rsid w:val="00C77E50"/>
    <w:rsid w:val="00C802A5"/>
    <w:rsid w:val="00C82E49"/>
    <w:rsid w:val="00C857E6"/>
    <w:rsid w:val="00C9161D"/>
    <w:rsid w:val="00C94260"/>
    <w:rsid w:val="00CB367D"/>
    <w:rsid w:val="00CB4827"/>
    <w:rsid w:val="00CB6D8D"/>
    <w:rsid w:val="00CC2FC2"/>
    <w:rsid w:val="00CC53B4"/>
    <w:rsid w:val="00CC54F2"/>
    <w:rsid w:val="00CC6114"/>
    <w:rsid w:val="00CD2E8D"/>
    <w:rsid w:val="00CD429C"/>
    <w:rsid w:val="00CD5EB3"/>
    <w:rsid w:val="00CD6AD9"/>
    <w:rsid w:val="00CD6B70"/>
    <w:rsid w:val="00CD6D1F"/>
    <w:rsid w:val="00CE05E3"/>
    <w:rsid w:val="00CE13B5"/>
    <w:rsid w:val="00CE17DE"/>
    <w:rsid w:val="00CE3E49"/>
    <w:rsid w:val="00CE5153"/>
    <w:rsid w:val="00CE797B"/>
    <w:rsid w:val="00CF01ED"/>
    <w:rsid w:val="00CF0CD6"/>
    <w:rsid w:val="00CF274A"/>
    <w:rsid w:val="00CF44C5"/>
    <w:rsid w:val="00CF54D8"/>
    <w:rsid w:val="00CF622F"/>
    <w:rsid w:val="00CF7B80"/>
    <w:rsid w:val="00D01444"/>
    <w:rsid w:val="00D0194C"/>
    <w:rsid w:val="00D03810"/>
    <w:rsid w:val="00D0561D"/>
    <w:rsid w:val="00D11356"/>
    <w:rsid w:val="00D12E3C"/>
    <w:rsid w:val="00D14818"/>
    <w:rsid w:val="00D17AC5"/>
    <w:rsid w:val="00D31660"/>
    <w:rsid w:val="00D34118"/>
    <w:rsid w:val="00D37738"/>
    <w:rsid w:val="00D37FD0"/>
    <w:rsid w:val="00D45E7A"/>
    <w:rsid w:val="00D45F73"/>
    <w:rsid w:val="00D50561"/>
    <w:rsid w:val="00D51DF0"/>
    <w:rsid w:val="00D52557"/>
    <w:rsid w:val="00D52F1E"/>
    <w:rsid w:val="00D5653E"/>
    <w:rsid w:val="00D63837"/>
    <w:rsid w:val="00D6663A"/>
    <w:rsid w:val="00D72A21"/>
    <w:rsid w:val="00D8019E"/>
    <w:rsid w:val="00D85CF1"/>
    <w:rsid w:val="00D871E5"/>
    <w:rsid w:val="00D91ED5"/>
    <w:rsid w:val="00D945EE"/>
    <w:rsid w:val="00D97F60"/>
    <w:rsid w:val="00DA097D"/>
    <w:rsid w:val="00DA26E2"/>
    <w:rsid w:val="00DA32FE"/>
    <w:rsid w:val="00DA4310"/>
    <w:rsid w:val="00DA5147"/>
    <w:rsid w:val="00DA5FFA"/>
    <w:rsid w:val="00DA75D2"/>
    <w:rsid w:val="00DA7BB3"/>
    <w:rsid w:val="00DC1E2C"/>
    <w:rsid w:val="00DC23EC"/>
    <w:rsid w:val="00DC427C"/>
    <w:rsid w:val="00DD156E"/>
    <w:rsid w:val="00DD625C"/>
    <w:rsid w:val="00DE50C0"/>
    <w:rsid w:val="00DE56C8"/>
    <w:rsid w:val="00DF1E6C"/>
    <w:rsid w:val="00DF4311"/>
    <w:rsid w:val="00DF5BD1"/>
    <w:rsid w:val="00E00C34"/>
    <w:rsid w:val="00E038BA"/>
    <w:rsid w:val="00E03E79"/>
    <w:rsid w:val="00E06C25"/>
    <w:rsid w:val="00E079E0"/>
    <w:rsid w:val="00E111F0"/>
    <w:rsid w:val="00E11FAD"/>
    <w:rsid w:val="00E14B27"/>
    <w:rsid w:val="00E1628E"/>
    <w:rsid w:val="00E17775"/>
    <w:rsid w:val="00E208A5"/>
    <w:rsid w:val="00E2161E"/>
    <w:rsid w:val="00E33305"/>
    <w:rsid w:val="00E33679"/>
    <w:rsid w:val="00E40DE1"/>
    <w:rsid w:val="00E52E7B"/>
    <w:rsid w:val="00E54D0E"/>
    <w:rsid w:val="00E55050"/>
    <w:rsid w:val="00E55BA6"/>
    <w:rsid w:val="00E57441"/>
    <w:rsid w:val="00E57EA8"/>
    <w:rsid w:val="00E601F1"/>
    <w:rsid w:val="00E60302"/>
    <w:rsid w:val="00E62554"/>
    <w:rsid w:val="00E65AE9"/>
    <w:rsid w:val="00E76BE2"/>
    <w:rsid w:val="00E827C1"/>
    <w:rsid w:val="00E84117"/>
    <w:rsid w:val="00E854FA"/>
    <w:rsid w:val="00E85BA8"/>
    <w:rsid w:val="00E9264E"/>
    <w:rsid w:val="00E940DC"/>
    <w:rsid w:val="00E96A99"/>
    <w:rsid w:val="00E971DA"/>
    <w:rsid w:val="00EA10B0"/>
    <w:rsid w:val="00EA3AAF"/>
    <w:rsid w:val="00EA4925"/>
    <w:rsid w:val="00EA704B"/>
    <w:rsid w:val="00EB3A2E"/>
    <w:rsid w:val="00EB574F"/>
    <w:rsid w:val="00EC3212"/>
    <w:rsid w:val="00ED2E63"/>
    <w:rsid w:val="00ED454D"/>
    <w:rsid w:val="00ED69F4"/>
    <w:rsid w:val="00ED6D76"/>
    <w:rsid w:val="00ED7365"/>
    <w:rsid w:val="00EE1E0B"/>
    <w:rsid w:val="00EE2C9B"/>
    <w:rsid w:val="00EE2FBE"/>
    <w:rsid w:val="00EE61CC"/>
    <w:rsid w:val="00EE7F79"/>
    <w:rsid w:val="00EF407F"/>
    <w:rsid w:val="00EF542A"/>
    <w:rsid w:val="00EF7546"/>
    <w:rsid w:val="00F04EED"/>
    <w:rsid w:val="00F0705D"/>
    <w:rsid w:val="00F075FD"/>
    <w:rsid w:val="00F07AF2"/>
    <w:rsid w:val="00F16723"/>
    <w:rsid w:val="00F1766D"/>
    <w:rsid w:val="00F209A5"/>
    <w:rsid w:val="00F52F1B"/>
    <w:rsid w:val="00F54F02"/>
    <w:rsid w:val="00F61D07"/>
    <w:rsid w:val="00F71D8F"/>
    <w:rsid w:val="00F725F1"/>
    <w:rsid w:val="00F74C16"/>
    <w:rsid w:val="00F74FC0"/>
    <w:rsid w:val="00F844A7"/>
    <w:rsid w:val="00F87AFD"/>
    <w:rsid w:val="00F945CC"/>
    <w:rsid w:val="00F9653F"/>
    <w:rsid w:val="00FA3A58"/>
    <w:rsid w:val="00FA5FDC"/>
    <w:rsid w:val="00FB58F4"/>
    <w:rsid w:val="00FB5D69"/>
    <w:rsid w:val="00FC5302"/>
    <w:rsid w:val="00FC5C2E"/>
    <w:rsid w:val="00FE4755"/>
    <w:rsid w:val="00FE4C71"/>
    <w:rsid w:val="00FE5AF3"/>
    <w:rsid w:val="00FF157D"/>
    <w:rsid w:val="00FF2348"/>
    <w:rsid w:val="00FF2DE3"/>
    <w:rsid w:val="00FF3DB2"/>
    <w:rsid w:val="00FF5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A6A9"/>
  <w15:chartTrackingRefBased/>
  <w15:docId w15:val="{8D1DCB1C-4395-43A9-A0CF-EDE99D48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5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5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75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75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5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5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5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5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5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75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75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5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5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5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5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5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7523"/>
    <w:pPr>
      <w:spacing w:before="160"/>
      <w:jc w:val="center"/>
    </w:pPr>
    <w:rPr>
      <w:i/>
      <w:iCs/>
      <w:color w:val="404040" w:themeColor="text1" w:themeTint="BF"/>
    </w:rPr>
  </w:style>
  <w:style w:type="character" w:customStyle="1" w:styleId="QuoteChar">
    <w:name w:val="Quote Char"/>
    <w:basedOn w:val="DefaultParagraphFont"/>
    <w:link w:val="Quote"/>
    <w:uiPriority w:val="29"/>
    <w:rsid w:val="00777523"/>
    <w:rPr>
      <w:i/>
      <w:iCs/>
      <w:color w:val="404040" w:themeColor="text1" w:themeTint="BF"/>
    </w:rPr>
  </w:style>
  <w:style w:type="paragraph" w:styleId="ListParagraph">
    <w:name w:val="List Paragraph"/>
    <w:basedOn w:val="Normal"/>
    <w:qFormat/>
    <w:rsid w:val="00777523"/>
    <w:pPr>
      <w:ind w:left="720"/>
      <w:contextualSpacing/>
    </w:pPr>
  </w:style>
  <w:style w:type="character" w:styleId="IntenseEmphasis">
    <w:name w:val="Intense Emphasis"/>
    <w:basedOn w:val="DefaultParagraphFont"/>
    <w:uiPriority w:val="21"/>
    <w:qFormat/>
    <w:rsid w:val="00777523"/>
    <w:rPr>
      <w:i/>
      <w:iCs/>
      <w:color w:val="0F4761" w:themeColor="accent1" w:themeShade="BF"/>
    </w:rPr>
  </w:style>
  <w:style w:type="paragraph" w:styleId="IntenseQuote">
    <w:name w:val="Intense Quote"/>
    <w:basedOn w:val="Normal"/>
    <w:next w:val="Normal"/>
    <w:link w:val="IntenseQuoteChar"/>
    <w:uiPriority w:val="30"/>
    <w:qFormat/>
    <w:rsid w:val="00777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523"/>
    <w:rPr>
      <w:i/>
      <w:iCs/>
      <w:color w:val="0F4761" w:themeColor="accent1" w:themeShade="BF"/>
    </w:rPr>
  </w:style>
  <w:style w:type="character" w:styleId="IntenseReference">
    <w:name w:val="Intense Reference"/>
    <w:basedOn w:val="DefaultParagraphFont"/>
    <w:uiPriority w:val="32"/>
    <w:qFormat/>
    <w:rsid w:val="00777523"/>
    <w:rPr>
      <w:b/>
      <w:bCs/>
      <w:smallCaps/>
      <w:color w:val="0F4761" w:themeColor="accent1" w:themeShade="BF"/>
      <w:spacing w:val="5"/>
    </w:rPr>
  </w:style>
  <w:style w:type="paragraph" w:styleId="Header">
    <w:name w:val="header"/>
    <w:basedOn w:val="Normal"/>
    <w:link w:val="HeaderChar"/>
    <w:uiPriority w:val="99"/>
    <w:unhideWhenUsed/>
    <w:rsid w:val="00122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B6"/>
  </w:style>
  <w:style w:type="paragraph" w:styleId="Footer">
    <w:name w:val="footer"/>
    <w:basedOn w:val="Normal"/>
    <w:link w:val="FooterChar"/>
    <w:uiPriority w:val="99"/>
    <w:unhideWhenUsed/>
    <w:rsid w:val="00122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B6"/>
  </w:style>
  <w:style w:type="paragraph" w:styleId="NormalWeb">
    <w:name w:val="Normal (Web)"/>
    <w:basedOn w:val="Normal"/>
    <w:uiPriority w:val="99"/>
    <w:semiHidden/>
    <w:unhideWhenUsed/>
    <w:rsid w:val="00081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customStyle="1" w:styleId="TableGrid5">
    <w:name w:val="Table Grid5"/>
    <w:basedOn w:val="TableNormal"/>
    <w:next w:val="TableGrid"/>
    <w:uiPriority w:val="39"/>
    <w:rsid w:val="002B5465"/>
    <w:pPr>
      <w:spacing w:after="0" w:line="240" w:lineRule="auto"/>
    </w:pPr>
    <w:rPr>
      <w:rFonts w:eastAsia="MS Mincho"/>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26F46"/>
    <w:pPr>
      <w:spacing w:after="0" w:line="240" w:lineRule="auto"/>
    </w:pPr>
    <w:rPr>
      <w:rFonts w:eastAsia="MS Mincho"/>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8158">
      <w:bodyDiv w:val="1"/>
      <w:marLeft w:val="0"/>
      <w:marRight w:val="0"/>
      <w:marTop w:val="0"/>
      <w:marBottom w:val="0"/>
      <w:divBdr>
        <w:top w:val="none" w:sz="0" w:space="0" w:color="auto"/>
        <w:left w:val="none" w:sz="0" w:space="0" w:color="auto"/>
        <w:bottom w:val="none" w:sz="0" w:space="0" w:color="auto"/>
        <w:right w:val="none" w:sz="0" w:space="0" w:color="auto"/>
      </w:divBdr>
    </w:div>
    <w:div w:id="244189943">
      <w:bodyDiv w:val="1"/>
      <w:marLeft w:val="0"/>
      <w:marRight w:val="0"/>
      <w:marTop w:val="0"/>
      <w:marBottom w:val="0"/>
      <w:divBdr>
        <w:top w:val="none" w:sz="0" w:space="0" w:color="auto"/>
        <w:left w:val="none" w:sz="0" w:space="0" w:color="auto"/>
        <w:bottom w:val="none" w:sz="0" w:space="0" w:color="auto"/>
        <w:right w:val="none" w:sz="0" w:space="0" w:color="auto"/>
      </w:divBdr>
    </w:div>
    <w:div w:id="547109403">
      <w:bodyDiv w:val="1"/>
      <w:marLeft w:val="0"/>
      <w:marRight w:val="0"/>
      <w:marTop w:val="0"/>
      <w:marBottom w:val="0"/>
      <w:divBdr>
        <w:top w:val="none" w:sz="0" w:space="0" w:color="auto"/>
        <w:left w:val="none" w:sz="0" w:space="0" w:color="auto"/>
        <w:bottom w:val="none" w:sz="0" w:space="0" w:color="auto"/>
        <w:right w:val="none" w:sz="0" w:space="0" w:color="auto"/>
      </w:divBdr>
    </w:div>
    <w:div w:id="605965653">
      <w:bodyDiv w:val="1"/>
      <w:marLeft w:val="0"/>
      <w:marRight w:val="0"/>
      <w:marTop w:val="0"/>
      <w:marBottom w:val="0"/>
      <w:divBdr>
        <w:top w:val="none" w:sz="0" w:space="0" w:color="auto"/>
        <w:left w:val="none" w:sz="0" w:space="0" w:color="auto"/>
        <w:bottom w:val="none" w:sz="0" w:space="0" w:color="auto"/>
        <w:right w:val="none" w:sz="0" w:space="0" w:color="auto"/>
      </w:divBdr>
    </w:div>
    <w:div w:id="754858025">
      <w:bodyDiv w:val="1"/>
      <w:marLeft w:val="0"/>
      <w:marRight w:val="0"/>
      <w:marTop w:val="0"/>
      <w:marBottom w:val="0"/>
      <w:divBdr>
        <w:top w:val="none" w:sz="0" w:space="0" w:color="auto"/>
        <w:left w:val="none" w:sz="0" w:space="0" w:color="auto"/>
        <w:bottom w:val="none" w:sz="0" w:space="0" w:color="auto"/>
        <w:right w:val="none" w:sz="0" w:space="0" w:color="auto"/>
      </w:divBdr>
    </w:div>
    <w:div w:id="817383083">
      <w:bodyDiv w:val="1"/>
      <w:marLeft w:val="0"/>
      <w:marRight w:val="0"/>
      <w:marTop w:val="0"/>
      <w:marBottom w:val="0"/>
      <w:divBdr>
        <w:top w:val="none" w:sz="0" w:space="0" w:color="auto"/>
        <w:left w:val="none" w:sz="0" w:space="0" w:color="auto"/>
        <w:bottom w:val="none" w:sz="0" w:space="0" w:color="auto"/>
        <w:right w:val="none" w:sz="0" w:space="0" w:color="auto"/>
      </w:divBdr>
    </w:div>
    <w:div w:id="926963039">
      <w:bodyDiv w:val="1"/>
      <w:marLeft w:val="0"/>
      <w:marRight w:val="0"/>
      <w:marTop w:val="0"/>
      <w:marBottom w:val="0"/>
      <w:divBdr>
        <w:top w:val="none" w:sz="0" w:space="0" w:color="auto"/>
        <w:left w:val="none" w:sz="0" w:space="0" w:color="auto"/>
        <w:bottom w:val="none" w:sz="0" w:space="0" w:color="auto"/>
        <w:right w:val="none" w:sz="0" w:space="0" w:color="auto"/>
      </w:divBdr>
    </w:div>
    <w:div w:id="1039159983">
      <w:bodyDiv w:val="1"/>
      <w:marLeft w:val="0"/>
      <w:marRight w:val="0"/>
      <w:marTop w:val="0"/>
      <w:marBottom w:val="0"/>
      <w:divBdr>
        <w:top w:val="none" w:sz="0" w:space="0" w:color="auto"/>
        <w:left w:val="none" w:sz="0" w:space="0" w:color="auto"/>
        <w:bottom w:val="none" w:sz="0" w:space="0" w:color="auto"/>
        <w:right w:val="none" w:sz="0" w:space="0" w:color="auto"/>
      </w:divBdr>
    </w:div>
    <w:div w:id="1076900710">
      <w:bodyDiv w:val="1"/>
      <w:marLeft w:val="0"/>
      <w:marRight w:val="0"/>
      <w:marTop w:val="0"/>
      <w:marBottom w:val="0"/>
      <w:divBdr>
        <w:top w:val="none" w:sz="0" w:space="0" w:color="auto"/>
        <w:left w:val="none" w:sz="0" w:space="0" w:color="auto"/>
        <w:bottom w:val="none" w:sz="0" w:space="0" w:color="auto"/>
        <w:right w:val="none" w:sz="0" w:space="0" w:color="auto"/>
      </w:divBdr>
    </w:div>
    <w:div w:id="1145975419">
      <w:bodyDiv w:val="1"/>
      <w:marLeft w:val="0"/>
      <w:marRight w:val="0"/>
      <w:marTop w:val="0"/>
      <w:marBottom w:val="0"/>
      <w:divBdr>
        <w:top w:val="none" w:sz="0" w:space="0" w:color="auto"/>
        <w:left w:val="none" w:sz="0" w:space="0" w:color="auto"/>
        <w:bottom w:val="none" w:sz="0" w:space="0" w:color="auto"/>
        <w:right w:val="none" w:sz="0" w:space="0" w:color="auto"/>
      </w:divBdr>
    </w:div>
    <w:div w:id="1180000634">
      <w:bodyDiv w:val="1"/>
      <w:marLeft w:val="0"/>
      <w:marRight w:val="0"/>
      <w:marTop w:val="0"/>
      <w:marBottom w:val="0"/>
      <w:divBdr>
        <w:top w:val="none" w:sz="0" w:space="0" w:color="auto"/>
        <w:left w:val="none" w:sz="0" w:space="0" w:color="auto"/>
        <w:bottom w:val="none" w:sz="0" w:space="0" w:color="auto"/>
        <w:right w:val="none" w:sz="0" w:space="0" w:color="auto"/>
      </w:divBdr>
    </w:div>
    <w:div w:id="1640694709">
      <w:bodyDiv w:val="1"/>
      <w:marLeft w:val="0"/>
      <w:marRight w:val="0"/>
      <w:marTop w:val="0"/>
      <w:marBottom w:val="0"/>
      <w:divBdr>
        <w:top w:val="none" w:sz="0" w:space="0" w:color="auto"/>
        <w:left w:val="none" w:sz="0" w:space="0" w:color="auto"/>
        <w:bottom w:val="none" w:sz="0" w:space="0" w:color="auto"/>
        <w:right w:val="none" w:sz="0" w:space="0" w:color="auto"/>
      </w:divBdr>
    </w:div>
    <w:div w:id="1727989924">
      <w:bodyDiv w:val="1"/>
      <w:marLeft w:val="0"/>
      <w:marRight w:val="0"/>
      <w:marTop w:val="0"/>
      <w:marBottom w:val="0"/>
      <w:divBdr>
        <w:top w:val="none" w:sz="0" w:space="0" w:color="auto"/>
        <w:left w:val="none" w:sz="0" w:space="0" w:color="auto"/>
        <w:bottom w:val="none" w:sz="0" w:space="0" w:color="auto"/>
        <w:right w:val="none" w:sz="0" w:space="0" w:color="auto"/>
      </w:divBdr>
    </w:div>
    <w:div w:id="1799031312">
      <w:bodyDiv w:val="1"/>
      <w:marLeft w:val="0"/>
      <w:marRight w:val="0"/>
      <w:marTop w:val="0"/>
      <w:marBottom w:val="0"/>
      <w:divBdr>
        <w:top w:val="none" w:sz="0" w:space="0" w:color="auto"/>
        <w:left w:val="none" w:sz="0" w:space="0" w:color="auto"/>
        <w:bottom w:val="none" w:sz="0" w:space="0" w:color="auto"/>
        <w:right w:val="none" w:sz="0" w:space="0" w:color="auto"/>
      </w:divBdr>
    </w:div>
    <w:div w:id="1872956539">
      <w:bodyDiv w:val="1"/>
      <w:marLeft w:val="0"/>
      <w:marRight w:val="0"/>
      <w:marTop w:val="0"/>
      <w:marBottom w:val="0"/>
      <w:divBdr>
        <w:top w:val="none" w:sz="0" w:space="0" w:color="auto"/>
        <w:left w:val="none" w:sz="0" w:space="0" w:color="auto"/>
        <w:bottom w:val="none" w:sz="0" w:space="0" w:color="auto"/>
        <w:right w:val="none" w:sz="0" w:space="0" w:color="auto"/>
      </w:divBdr>
    </w:div>
    <w:div w:id="2008364975">
      <w:bodyDiv w:val="1"/>
      <w:marLeft w:val="0"/>
      <w:marRight w:val="0"/>
      <w:marTop w:val="0"/>
      <w:marBottom w:val="0"/>
      <w:divBdr>
        <w:top w:val="none" w:sz="0" w:space="0" w:color="auto"/>
        <w:left w:val="none" w:sz="0" w:space="0" w:color="auto"/>
        <w:bottom w:val="none" w:sz="0" w:space="0" w:color="auto"/>
        <w:right w:val="none" w:sz="0" w:space="0" w:color="auto"/>
      </w:divBdr>
    </w:div>
    <w:div w:id="20421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30</Pages>
  <Words>11319</Words>
  <Characters>58377</Characters>
  <Application>Microsoft Office Word</Application>
  <DocSecurity>0</DocSecurity>
  <Lines>1160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Max Lewin</dc:creator>
  <cp:keywords/>
  <dc:description/>
  <cp:lastModifiedBy>Daniel Lewin</cp:lastModifiedBy>
  <cp:revision>773</cp:revision>
  <dcterms:created xsi:type="dcterms:W3CDTF">2024-04-08T19:11:00Z</dcterms:created>
  <dcterms:modified xsi:type="dcterms:W3CDTF">2026-01-25T19:57:00Z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610b9deb-1284-4dff-b961-cec8ca0b5219</vt:lpwstr>
  </property>
</Properties>
</file>