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93867A" w:rsidR="00934474" w:rsidRPr="00586CEB" w:rsidRDefault="00900F5B">
      <w:pPr>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Wilson Moot – Oral Arguments</w:t>
      </w:r>
    </w:p>
    <w:p w14:paraId="00000002" w14:textId="77777777" w:rsidR="00934474" w:rsidRPr="00586CEB" w:rsidRDefault="00000000">
      <w:pPr>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 </w:t>
      </w:r>
    </w:p>
    <w:p w14:paraId="2EBB9BF2" w14:textId="3D175D02" w:rsidR="00754835" w:rsidRPr="00586CEB" w:rsidRDefault="00000000">
      <w:pPr>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Good </w:t>
      </w:r>
      <w:r w:rsidR="00D10878" w:rsidRPr="00586CEB">
        <w:rPr>
          <w:rFonts w:ascii="Times New Roman" w:eastAsia="Times New Roman" w:hAnsi="Times New Roman" w:cs="Times New Roman"/>
          <w:sz w:val="28"/>
          <w:szCs w:val="28"/>
        </w:rPr>
        <w:t>afternoon</w:t>
      </w:r>
      <w:r w:rsidR="00E60239" w:rsidRPr="00586CEB">
        <w:rPr>
          <w:rFonts w:ascii="Times New Roman" w:eastAsia="Times New Roman" w:hAnsi="Times New Roman" w:cs="Times New Roman"/>
          <w:sz w:val="28"/>
          <w:szCs w:val="28"/>
        </w:rPr>
        <w:t>,</w:t>
      </w:r>
      <w:r w:rsidRPr="00586CEB">
        <w:rPr>
          <w:rFonts w:ascii="Times New Roman" w:eastAsia="Times New Roman" w:hAnsi="Times New Roman" w:cs="Times New Roman"/>
          <w:sz w:val="28"/>
          <w:szCs w:val="28"/>
        </w:rPr>
        <w:t xml:space="preserve"> Justices</w:t>
      </w:r>
      <w:r w:rsidR="00D10878" w:rsidRPr="00586CEB">
        <w:rPr>
          <w:rFonts w:ascii="Times New Roman" w:eastAsia="Times New Roman" w:hAnsi="Times New Roman" w:cs="Times New Roman"/>
          <w:sz w:val="28"/>
          <w:szCs w:val="28"/>
        </w:rPr>
        <w:t>.</w:t>
      </w:r>
      <w:r w:rsidRPr="00586CEB">
        <w:rPr>
          <w:rFonts w:ascii="Times New Roman" w:eastAsia="Times New Roman" w:hAnsi="Times New Roman" w:cs="Times New Roman"/>
          <w:sz w:val="28"/>
          <w:szCs w:val="28"/>
        </w:rPr>
        <w:t xml:space="preserve"> My name is </w:t>
      </w:r>
      <w:r w:rsidR="00D81E8A">
        <w:rPr>
          <w:rFonts w:ascii="Times New Roman" w:eastAsia="Times New Roman" w:hAnsi="Times New Roman" w:cs="Times New Roman"/>
          <w:sz w:val="28"/>
          <w:szCs w:val="28"/>
        </w:rPr>
        <w:t>(first name, last name)</w:t>
      </w:r>
      <w:r w:rsidR="00E60239" w:rsidRPr="00586CEB">
        <w:rPr>
          <w:rFonts w:ascii="Times New Roman" w:eastAsia="Times New Roman" w:hAnsi="Times New Roman" w:cs="Times New Roman"/>
          <w:sz w:val="28"/>
          <w:szCs w:val="28"/>
        </w:rPr>
        <w:t>,</w:t>
      </w:r>
      <w:r w:rsidRPr="00586CEB">
        <w:rPr>
          <w:rFonts w:ascii="Times New Roman" w:eastAsia="Times New Roman" w:hAnsi="Times New Roman" w:cs="Times New Roman"/>
          <w:sz w:val="28"/>
          <w:szCs w:val="28"/>
        </w:rPr>
        <w:t xml:space="preserve"> and I am </w:t>
      </w:r>
      <w:r w:rsidR="00763CA9" w:rsidRPr="00586CEB">
        <w:rPr>
          <w:rFonts w:ascii="Times New Roman" w:eastAsia="Times New Roman" w:hAnsi="Times New Roman" w:cs="Times New Roman"/>
          <w:sz w:val="28"/>
          <w:szCs w:val="28"/>
        </w:rPr>
        <w:t>joined by</w:t>
      </w:r>
      <w:r w:rsidRPr="00586CEB">
        <w:rPr>
          <w:rFonts w:ascii="Times New Roman" w:eastAsia="Times New Roman" w:hAnsi="Times New Roman" w:cs="Times New Roman"/>
          <w:sz w:val="28"/>
          <w:szCs w:val="28"/>
        </w:rPr>
        <w:t xml:space="preserve"> my co-counsel, Mr. </w:t>
      </w:r>
      <w:r w:rsidR="00D81E8A">
        <w:rPr>
          <w:rFonts w:ascii="Times New Roman" w:eastAsia="Times New Roman" w:hAnsi="Times New Roman" w:cs="Times New Roman"/>
          <w:sz w:val="28"/>
          <w:szCs w:val="28"/>
        </w:rPr>
        <w:t>(first name, last name)</w:t>
      </w:r>
      <w:r w:rsidRPr="00586CEB">
        <w:rPr>
          <w:rFonts w:ascii="Times New Roman" w:eastAsia="Times New Roman" w:hAnsi="Times New Roman" w:cs="Times New Roman"/>
          <w:sz w:val="28"/>
          <w:szCs w:val="28"/>
        </w:rPr>
        <w:t xml:space="preserve">, on behalf of the Respondent, the Ministry of Northern Development of Ontario, at this appeal. </w:t>
      </w:r>
      <w:r w:rsidR="00B569E0" w:rsidRPr="00586CEB">
        <w:rPr>
          <w:rFonts w:ascii="Times New Roman" w:eastAsia="Times New Roman" w:hAnsi="Times New Roman" w:cs="Times New Roman"/>
          <w:sz w:val="28"/>
          <w:szCs w:val="28"/>
        </w:rPr>
        <w:t xml:space="preserve">Justices, this is not a case about taking away funding from </w:t>
      </w:r>
      <w:proofErr w:type="spellStart"/>
      <w:r w:rsidR="00B569E0" w:rsidRPr="00586CEB">
        <w:rPr>
          <w:rFonts w:ascii="Times New Roman" w:eastAsia="Times New Roman" w:hAnsi="Times New Roman" w:cs="Times New Roman"/>
          <w:sz w:val="28"/>
          <w:szCs w:val="28"/>
        </w:rPr>
        <w:t>Northhaven</w:t>
      </w:r>
      <w:proofErr w:type="spellEnd"/>
      <w:r w:rsidR="00B569E0" w:rsidRPr="00586CEB">
        <w:rPr>
          <w:rFonts w:ascii="Times New Roman" w:eastAsia="Times New Roman" w:hAnsi="Times New Roman" w:cs="Times New Roman"/>
          <w:sz w:val="28"/>
          <w:szCs w:val="28"/>
        </w:rPr>
        <w:t xml:space="preserve"> </w:t>
      </w:r>
      <w:r w:rsidR="00900F5B" w:rsidRPr="00586CEB">
        <w:rPr>
          <w:rFonts w:ascii="Times New Roman" w:eastAsia="Times New Roman" w:hAnsi="Times New Roman" w:cs="Times New Roman"/>
          <w:sz w:val="28"/>
          <w:szCs w:val="28"/>
        </w:rPr>
        <w:t>residents but</w:t>
      </w:r>
      <w:r w:rsidR="00B569E0" w:rsidRPr="00586CEB">
        <w:rPr>
          <w:rFonts w:ascii="Times New Roman" w:eastAsia="Times New Roman" w:hAnsi="Times New Roman" w:cs="Times New Roman"/>
          <w:sz w:val="28"/>
          <w:szCs w:val="28"/>
        </w:rPr>
        <w:t xml:space="preserve"> is indeed about balancing competing priorities by ensuring that Northaven residents are able to obtain long-term self-sufficiency by providing them with necessary skills-training and </w:t>
      </w:r>
      <w:r w:rsidR="00D331DC" w:rsidRPr="00586CEB">
        <w:rPr>
          <w:rFonts w:ascii="Times New Roman" w:eastAsia="Times New Roman" w:hAnsi="Times New Roman" w:cs="Times New Roman"/>
          <w:sz w:val="28"/>
          <w:szCs w:val="28"/>
        </w:rPr>
        <w:t xml:space="preserve">creating </w:t>
      </w:r>
      <w:r w:rsidR="00B569E0" w:rsidRPr="00586CEB">
        <w:rPr>
          <w:rFonts w:ascii="Times New Roman" w:eastAsia="Times New Roman" w:hAnsi="Times New Roman" w:cs="Times New Roman"/>
          <w:sz w:val="28"/>
          <w:szCs w:val="28"/>
        </w:rPr>
        <w:t>employment opportunities</w:t>
      </w:r>
      <w:r w:rsidR="00FE6030" w:rsidRPr="00586CEB">
        <w:rPr>
          <w:rFonts w:ascii="Times New Roman" w:eastAsia="Times New Roman" w:hAnsi="Times New Roman" w:cs="Times New Roman"/>
          <w:sz w:val="28"/>
          <w:szCs w:val="28"/>
        </w:rPr>
        <w:t xml:space="preserve"> in the region</w:t>
      </w:r>
      <w:r w:rsidR="00B569E0" w:rsidRPr="00586CEB">
        <w:rPr>
          <w:rFonts w:ascii="Times New Roman" w:eastAsia="Times New Roman" w:hAnsi="Times New Roman" w:cs="Times New Roman"/>
          <w:sz w:val="28"/>
          <w:szCs w:val="28"/>
        </w:rPr>
        <w:t xml:space="preserve">. </w:t>
      </w:r>
    </w:p>
    <w:p w14:paraId="19A9EC3A" w14:textId="77777777" w:rsidR="00754835" w:rsidRPr="00586CEB" w:rsidRDefault="00754835">
      <w:pPr>
        <w:jc w:val="both"/>
        <w:rPr>
          <w:rFonts w:ascii="Times New Roman" w:eastAsia="Times New Roman" w:hAnsi="Times New Roman" w:cs="Times New Roman"/>
          <w:sz w:val="28"/>
          <w:szCs w:val="28"/>
        </w:rPr>
      </w:pPr>
    </w:p>
    <w:p w14:paraId="4BB8F44A" w14:textId="778C346E" w:rsidR="00754835" w:rsidRPr="00586CEB" w:rsidRDefault="00730D8E">
      <w:pPr>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We will be advancing four submissions</w:t>
      </w:r>
      <w:r w:rsidR="00B569E0" w:rsidRPr="00586CEB">
        <w:rPr>
          <w:rFonts w:ascii="Times New Roman" w:eastAsia="Times New Roman" w:hAnsi="Times New Roman" w:cs="Times New Roman"/>
          <w:sz w:val="28"/>
          <w:szCs w:val="28"/>
        </w:rPr>
        <w:t xml:space="preserve"> in support of this position</w:t>
      </w:r>
      <w:r w:rsidRPr="00586CEB">
        <w:rPr>
          <w:rFonts w:ascii="Times New Roman" w:eastAsia="Times New Roman" w:hAnsi="Times New Roman" w:cs="Times New Roman"/>
          <w:sz w:val="28"/>
          <w:szCs w:val="28"/>
        </w:rPr>
        <w:t xml:space="preserve">. I will </w:t>
      </w:r>
      <w:r w:rsidR="00754835" w:rsidRPr="00586CEB">
        <w:rPr>
          <w:rFonts w:ascii="Times New Roman" w:eastAsia="Times New Roman" w:hAnsi="Times New Roman" w:cs="Times New Roman"/>
          <w:sz w:val="28"/>
          <w:szCs w:val="28"/>
        </w:rPr>
        <w:t>be</w:t>
      </w:r>
      <w:r w:rsidRPr="00586CEB">
        <w:rPr>
          <w:rFonts w:ascii="Times New Roman" w:eastAsia="Times New Roman" w:hAnsi="Times New Roman" w:cs="Times New Roman"/>
          <w:sz w:val="28"/>
          <w:szCs w:val="28"/>
        </w:rPr>
        <w:t xml:space="preserve"> addressing the first two of the Respondents</w:t>
      </w:r>
      <w:r w:rsidR="00CA3300" w:rsidRPr="00586CEB">
        <w:rPr>
          <w:rFonts w:ascii="Times New Roman" w:eastAsia="Times New Roman" w:hAnsi="Times New Roman" w:cs="Times New Roman"/>
          <w:sz w:val="28"/>
          <w:szCs w:val="28"/>
        </w:rPr>
        <w:t>’ submissions</w:t>
      </w:r>
      <w:r w:rsidRPr="00586CEB">
        <w:rPr>
          <w:rFonts w:ascii="Times New Roman" w:eastAsia="Times New Roman" w:hAnsi="Times New Roman" w:cs="Times New Roman"/>
          <w:sz w:val="28"/>
          <w:szCs w:val="28"/>
        </w:rPr>
        <w:t xml:space="preserve"> </w:t>
      </w:r>
      <w:r w:rsidR="00CA3300" w:rsidRPr="00586CEB">
        <w:rPr>
          <w:rFonts w:ascii="Times New Roman" w:eastAsia="Times New Roman" w:hAnsi="Times New Roman" w:cs="Times New Roman"/>
          <w:sz w:val="28"/>
          <w:szCs w:val="28"/>
        </w:rPr>
        <w:t>those</w:t>
      </w:r>
      <w:r w:rsidRPr="00586CEB">
        <w:rPr>
          <w:rFonts w:ascii="Times New Roman" w:eastAsia="Times New Roman" w:hAnsi="Times New Roman" w:cs="Times New Roman"/>
          <w:sz w:val="28"/>
          <w:szCs w:val="28"/>
        </w:rPr>
        <w:t xml:space="preserve"> being that the Court of Appeal of Ontario correctly held that the new regulations do not create a</w:t>
      </w:r>
      <w:r w:rsidR="00CA3300" w:rsidRPr="00586CEB">
        <w:rPr>
          <w:rFonts w:ascii="Times New Roman" w:eastAsia="Times New Roman" w:hAnsi="Times New Roman" w:cs="Times New Roman"/>
          <w:sz w:val="28"/>
          <w:szCs w:val="28"/>
        </w:rPr>
        <w:t xml:space="preserve"> discriminatory</w:t>
      </w:r>
      <w:r w:rsidRPr="00586CEB">
        <w:rPr>
          <w:rFonts w:ascii="Times New Roman" w:eastAsia="Times New Roman" w:hAnsi="Times New Roman" w:cs="Times New Roman"/>
          <w:sz w:val="28"/>
          <w:szCs w:val="28"/>
        </w:rPr>
        <w:t xml:space="preserve"> distinction based on an enumerated or analogous ground</w:t>
      </w:r>
      <w:r w:rsidR="00480216" w:rsidRPr="00586CEB">
        <w:rPr>
          <w:rFonts w:ascii="Times New Roman" w:eastAsia="Times New Roman" w:hAnsi="Times New Roman" w:cs="Times New Roman"/>
          <w:sz w:val="28"/>
          <w:szCs w:val="28"/>
        </w:rPr>
        <w:t xml:space="preserve"> under s. 15(1) of the Charter</w:t>
      </w:r>
      <w:r w:rsidRPr="00586CEB">
        <w:rPr>
          <w:rFonts w:ascii="Times New Roman" w:eastAsia="Times New Roman" w:hAnsi="Times New Roman" w:cs="Times New Roman"/>
          <w:sz w:val="28"/>
          <w:szCs w:val="28"/>
        </w:rPr>
        <w:t xml:space="preserve"> and the </w:t>
      </w:r>
      <w:r w:rsidR="007C467D" w:rsidRPr="00586CEB">
        <w:rPr>
          <w:rFonts w:ascii="Times New Roman" w:eastAsia="Times New Roman" w:hAnsi="Times New Roman" w:cs="Times New Roman"/>
          <w:sz w:val="28"/>
          <w:szCs w:val="28"/>
        </w:rPr>
        <w:t>regulations are an</w:t>
      </w:r>
      <w:r w:rsidRPr="00586CEB">
        <w:rPr>
          <w:rFonts w:ascii="Times New Roman" w:eastAsia="Times New Roman" w:hAnsi="Times New Roman" w:cs="Times New Roman"/>
          <w:sz w:val="28"/>
          <w:szCs w:val="28"/>
        </w:rPr>
        <w:t xml:space="preserve"> ameliorative </w:t>
      </w:r>
      <w:r w:rsidR="007C467D" w:rsidRPr="00586CEB">
        <w:rPr>
          <w:rFonts w:ascii="Times New Roman" w:eastAsia="Times New Roman" w:hAnsi="Times New Roman" w:cs="Times New Roman"/>
          <w:sz w:val="28"/>
          <w:szCs w:val="28"/>
        </w:rPr>
        <w:t>program</w:t>
      </w:r>
      <w:r w:rsidRPr="00586CEB">
        <w:rPr>
          <w:rFonts w:ascii="Times New Roman" w:eastAsia="Times New Roman" w:hAnsi="Times New Roman" w:cs="Times New Roman"/>
          <w:sz w:val="28"/>
          <w:szCs w:val="28"/>
        </w:rPr>
        <w:t xml:space="preserve"> under s.15(2). </w:t>
      </w:r>
    </w:p>
    <w:p w14:paraId="0F54722C" w14:textId="77777777" w:rsidR="00754835" w:rsidRPr="00586CEB" w:rsidRDefault="00754835">
      <w:pPr>
        <w:jc w:val="both"/>
        <w:rPr>
          <w:rFonts w:ascii="Times New Roman" w:eastAsia="Times New Roman" w:hAnsi="Times New Roman" w:cs="Times New Roman"/>
          <w:sz w:val="28"/>
          <w:szCs w:val="28"/>
        </w:rPr>
      </w:pPr>
    </w:p>
    <w:p w14:paraId="00000003" w14:textId="5B5C311B" w:rsidR="00934474" w:rsidRPr="00586CEB" w:rsidRDefault="00000000">
      <w:pPr>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My co-counsel, Mr. </w:t>
      </w:r>
      <w:r w:rsidR="00900F5B">
        <w:rPr>
          <w:rFonts w:ascii="Times New Roman" w:eastAsia="Times New Roman" w:hAnsi="Times New Roman" w:cs="Times New Roman"/>
          <w:sz w:val="28"/>
          <w:szCs w:val="28"/>
        </w:rPr>
        <w:t>(last name)</w:t>
      </w:r>
      <w:r w:rsidRPr="00586CEB">
        <w:rPr>
          <w:rFonts w:ascii="Times New Roman" w:eastAsia="Times New Roman" w:hAnsi="Times New Roman" w:cs="Times New Roman"/>
          <w:sz w:val="28"/>
          <w:szCs w:val="28"/>
        </w:rPr>
        <w:t xml:space="preserve"> will be addressing our last two submissions, th</w:t>
      </w:r>
      <w:r w:rsidR="00733FCD" w:rsidRPr="00586CEB">
        <w:rPr>
          <w:rFonts w:ascii="Times New Roman" w:eastAsia="Times New Roman" w:hAnsi="Times New Roman" w:cs="Times New Roman"/>
          <w:sz w:val="28"/>
          <w:szCs w:val="28"/>
        </w:rPr>
        <w:t>ose</w:t>
      </w:r>
      <w:r w:rsidRPr="00586CEB">
        <w:rPr>
          <w:rFonts w:ascii="Times New Roman" w:eastAsia="Times New Roman" w:hAnsi="Times New Roman" w:cs="Times New Roman"/>
          <w:sz w:val="28"/>
          <w:szCs w:val="28"/>
        </w:rPr>
        <w:t xml:space="preserve"> being that the Appellant has not established that the new regulations </w:t>
      </w:r>
      <w:r w:rsidR="007C467D" w:rsidRPr="00586CEB">
        <w:rPr>
          <w:rFonts w:ascii="Times New Roman" w:eastAsia="Times New Roman" w:hAnsi="Times New Roman" w:cs="Times New Roman"/>
          <w:sz w:val="28"/>
          <w:szCs w:val="28"/>
        </w:rPr>
        <w:t>infringe</w:t>
      </w:r>
      <w:r w:rsidRPr="00586CEB">
        <w:rPr>
          <w:rFonts w:ascii="Times New Roman" w:eastAsia="Times New Roman" w:hAnsi="Times New Roman" w:cs="Times New Roman"/>
          <w:sz w:val="28"/>
          <w:szCs w:val="28"/>
        </w:rPr>
        <w:t xml:space="preserve"> his </w:t>
      </w:r>
      <w:r w:rsidR="00480216" w:rsidRPr="00586CEB">
        <w:rPr>
          <w:rFonts w:ascii="Times New Roman" w:eastAsia="Times New Roman" w:hAnsi="Times New Roman" w:cs="Times New Roman"/>
          <w:sz w:val="28"/>
          <w:szCs w:val="28"/>
        </w:rPr>
        <w:t>s. 7</w:t>
      </w:r>
      <w:r w:rsidRPr="00586CEB">
        <w:rPr>
          <w:rFonts w:ascii="Times New Roman" w:eastAsia="Times New Roman" w:hAnsi="Times New Roman" w:cs="Times New Roman"/>
          <w:sz w:val="28"/>
          <w:szCs w:val="28"/>
        </w:rPr>
        <w:t xml:space="preserve"> </w:t>
      </w:r>
      <w:r w:rsidR="00815D82" w:rsidRPr="00586CEB">
        <w:rPr>
          <w:rFonts w:ascii="Times New Roman" w:eastAsia="Times New Roman" w:hAnsi="Times New Roman" w:cs="Times New Roman"/>
          <w:sz w:val="28"/>
          <w:szCs w:val="28"/>
        </w:rPr>
        <w:t xml:space="preserve">Charter </w:t>
      </w:r>
      <w:r w:rsidR="00480216" w:rsidRPr="00586CEB">
        <w:rPr>
          <w:rFonts w:ascii="Times New Roman" w:eastAsia="Times New Roman" w:hAnsi="Times New Roman" w:cs="Times New Roman"/>
          <w:sz w:val="28"/>
          <w:szCs w:val="28"/>
        </w:rPr>
        <w:t>rights</w:t>
      </w:r>
      <w:r w:rsidRPr="00586CEB">
        <w:rPr>
          <w:rFonts w:ascii="Times New Roman" w:eastAsia="Times New Roman" w:hAnsi="Times New Roman" w:cs="Times New Roman"/>
          <w:sz w:val="28"/>
          <w:szCs w:val="28"/>
        </w:rPr>
        <w:t xml:space="preserve"> and that any violation of the Appellant’s rights can be justified in a free and democratic society under s. 1. </w:t>
      </w:r>
    </w:p>
    <w:p w14:paraId="00000006" w14:textId="5F1F6F34" w:rsidR="00934474" w:rsidRPr="00586CEB" w:rsidRDefault="00000000">
      <w:pPr>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 </w:t>
      </w:r>
    </w:p>
    <w:p w14:paraId="00000007" w14:textId="77777777" w:rsidR="00934474" w:rsidRPr="00586CEB" w:rsidRDefault="00000000">
      <w:pPr>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The respondent requests this court to dismiss this appeal and affirm the decision of the Court of Appeal for Ontario.</w:t>
      </w:r>
    </w:p>
    <w:p w14:paraId="0000000C" w14:textId="77777777" w:rsidR="00934474" w:rsidRPr="00586CEB" w:rsidRDefault="00934474">
      <w:pPr>
        <w:spacing w:line="240" w:lineRule="auto"/>
        <w:jc w:val="both"/>
        <w:rPr>
          <w:rFonts w:ascii="Times New Roman" w:eastAsia="Times New Roman" w:hAnsi="Times New Roman" w:cs="Times New Roman"/>
          <w:sz w:val="28"/>
          <w:szCs w:val="28"/>
        </w:rPr>
      </w:pPr>
    </w:p>
    <w:p w14:paraId="444F076F"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07E46DE2"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0DFEC619"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2F6A6931"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1176BE65"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398C02C0"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2EC8841C"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375AB6BD"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4DBE0779"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1F4ED7CA"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0F833658"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23261810"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4DE7F5AF"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7BADD1D7"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0D06CB9C"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0620818F"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12BBA956"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198C5FBB"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19E4D538"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478D1B09" w14:textId="77777777" w:rsidR="00586CEB" w:rsidRPr="00586CEB" w:rsidRDefault="00586CEB" w:rsidP="00B569E0">
      <w:pPr>
        <w:spacing w:line="240" w:lineRule="auto"/>
        <w:jc w:val="both"/>
        <w:rPr>
          <w:rFonts w:ascii="Times New Roman" w:eastAsia="Times New Roman" w:hAnsi="Times New Roman" w:cs="Times New Roman"/>
          <w:sz w:val="28"/>
          <w:szCs w:val="28"/>
        </w:rPr>
      </w:pPr>
    </w:p>
    <w:p w14:paraId="5B597CA5" w14:textId="77777777" w:rsidR="00586CEB" w:rsidRPr="00586CEB" w:rsidRDefault="00586CEB" w:rsidP="00586CEB">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br/>
      </w:r>
      <w:r w:rsidRPr="00586CEB">
        <w:rPr>
          <w:rFonts w:ascii="Times New Roman" w:eastAsia="Times New Roman" w:hAnsi="Times New Roman" w:cs="Times New Roman"/>
          <w:sz w:val="28"/>
          <w:szCs w:val="28"/>
        </w:rPr>
        <w:br/>
      </w:r>
    </w:p>
    <w:p w14:paraId="5DF7F935"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2D49DC39"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57151475"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523438D2"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7238FCEB"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978061D"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7900515"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31CC17E4"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4B8988B"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3BEC7BEE"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18DFD63B"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1B1E7792"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2F26164F"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29A0FE58"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5897C6E9"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CE3A2EF"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25EA7FE1"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068C1072"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5E9B5BED"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0C0CDE95"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4301984E"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4B986B80"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B811E54"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5D1072A9"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611D1D7"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66043436"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4182B227" w14:textId="77777777" w:rsidR="00586CEB" w:rsidRDefault="00586CEB" w:rsidP="00586CEB">
      <w:pPr>
        <w:spacing w:line="240" w:lineRule="auto"/>
        <w:jc w:val="both"/>
        <w:rPr>
          <w:rFonts w:ascii="Times New Roman" w:eastAsia="Times New Roman" w:hAnsi="Times New Roman" w:cs="Times New Roman"/>
          <w:sz w:val="28"/>
          <w:szCs w:val="28"/>
        </w:rPr>
      </w:pPr>
    </w:p>
    <w:p w14:paraId="511270C0" w14:textId="77777777" w:rsidR="00586CEB" w:rsidRPr="00586CEB" w:rsidRDefault="00586CEB" w:rsidP="00586CEB">
      <w:pPr>
        <w:spacing w:line="240" w:lineRule="auto"/>
        <w:jc w:val="both"/>
        <w:rPr>
          <w:rFonts w:ascii="Times New Roman" w:eastAsia="Times New Roman" w:hAnsi="Times New Roman" w:cs="Times New Roman"/>
          <w:sz w:val="28"/>
          <w:szCs w:val="28"/>
        </w:rPr>
      </w:pPr>
    </w:p>
    <w:p w14:paraId="4A88433F" w14:textId="41825EFC" w:rsidR="00754835" w:rsidRPr="00586CEB" w:rsidRDefault="00000000" w:rsidP="00586CEB">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 xml:space="preserve">My submissions begin at paragraph 42 of the Respondent’s factum. </w:t>
      </w:r>
      <w:r w:rsidR="00B569E0" w:rsidRPr="00586CEB">
        <w:rPr>
          <w:rFonts w:ascii="Times New Roman" w:eastAsia="Times New Roman" w:hAnsi="Times New Roman" w:cs="Times New Roman"/>
          <w:sz w:val="28"/>
          <w:szCs w:val="28"/>
        </w:rPr>
        <w:t xml:space="preserve">In support of the Respondent’s position that the new regulations do not constitute a discriminatory distinction, I will be making three arguments. First, </w:t>
      </w:r>
      <w:r w:rsidR="00E15D6A" w:rsidRPr="00586CEB">
        <w:rPr>
          <w:rFonts w:ascii="Times New Roman" w:eastAsia="Times New Roman" w:hAnsi="Times New Roman" w:cs="Times New Roman"/>
          <w:sz w:val="28"/>
          <w:szCs w:val="28"/>
        </w:rPr>
        <w:t>social condition</w:t>
      </w:r>
      <w:r w:rsidR="00B569E0" w:rsidRPr="00586CEB">
        <w:rPr>
          <w:rFonts w:ascii="Times New Roman" w:eastAsia="Times New Roman" w:hAnsi="Times New Roman" w:cs="Times New Roman"/>
          <w:sz w:val="28"/>
          <w:szCs w:val="28"/>
        </w:rPr>
        <w:t xml:space="preserve"> cannot be considered an analogous ground under s. 15(1).  </w:t>
      </w:r>
      <w:r w:rsidR="00CB5D76" w:rsidRPr="00586CEB">
        <w:rPr>
          <w:rFonts w:ascii="Times New Roman" w:eastAsia="Times New Roman" w:hAnsi="Times New Roman" w:cs="Times New Roman"/>
          <w:sz w:val="28"/>
          <w:szCs w:val="28"/>
        </w:rPr>
        <w:t>Section</w:t>
      </w:r>
      <w:r w:rsidR="00754835" w:rsidRPr="00586CEB">
        <w:rPr>
          <w:rFonts w:ascii="Times New Roman" w:eastAsia="Times New Roman" w:hAnsi="Times New Roman" w:cs="Times New Roman"/>
          <w:sz w:val="28"/>
          <w:szCs w:val="28"/>
        </w:rPr>
        <w:t xml:space="preserve"> 15(1) will be violated where an impugned law or government action draws a discriminatory distinction based on an enumerated or analogous ground</w:t>
      </w:r>
      <w:r w:rsidR="00C668B2" w:rsidRPr="00586CEB">
        <w:rPr>
          <w:rFonts w:ascii="Times New Roman" w:eastAsia="Times New Roman" w:hAnsi="Times New Roman" w:cs="Times New Roman"/>
          <w:sz w:val="28"/>
          <w:szCs w:val="28"/>
        </w:rPr>
        <w:t xml:space="preserve"> (para 42). </w:t>
      </w:r>
      <w:r w:rsidR="00754835" w:rsidRPr="00586CEB">
        <w:rPr>
          <w:rFonts w:ascii="Times New Roman" w:eastAsia="Times New Roman" w:hAnsi="Times New Roman" w:cs="Times New Roman"/>
          <w:sz w:val="28"/>
          <w:szCs w:val="28"/>
        </w:rPr>
        <w:t>Enumerated or analogous grounds include only immutable characteristics, those are characteristics that are unchangeable or only at an unacceptable cost to personal identity and that the government has no legitimate interest in expecting people to change</w:t>
      </w:r>
      <w:r w:rsidR="00CB5D76" w:rsidRPr="00586CEB">
        <w:rPr>
          <w:rFonts w:ascii="Times New Roman" w:eastAsia="Times New Roman" w:hAnsi="Times New Roman" w:cs="Times New Roman"/>
          <w:sz w:val="28"/>
          <w:szCs w:val="28"/>
        </w:rPr>
        <w:t xml:space="preserve"> (</w:t>
      </w:r>
      <w:r w:rsidR="00C668B2" w:rsidRPr="00586CEB">
        <w:rPr>
          <w:rFonts w:ascii="Times New Roman" w:eastAsia="Times New Roman" w:hAnsi="Times New Roman" w:cs="Times New Roman"/>
          <w:sz w:val="28"/>
          <w:szCs w:val="28"/>
        </w:rPr>
        <w:t xml:space="preserve">RF </w:t>
      </w:r>
      <w:r w:rsidR="00245FBD" w:rsidRPr="00586CEB">
        <w:rPr>
          <w:rFonts w:ascii="Times New Roman" w:eastAsia="Times New Roman" w:hAnsi="Times New Roman" w:cs="Times New Roman"/>
          <w:sz w:val="28"/>
          <w:szCs w:val="28"/>
        </w:rPr>
        <w:t>at</w:t>
      </w:r>
      <w:r w:rsidR="00C668B2" w:rsidRPr="00586CEB">
        <w:rPr>
          <w:rFonts w:ascii="Times New Roman" w:eastAsia="Times New Roman" w:hAnsi="Times New Roman" w:cs="Times New Roman"/>
          <w:sz w:val="28"/>
          <w:szCs w:val="28"/>
        </w:rPr>
        <w:t xml:space="preserve"> 45 citing </w:t>
      </w:r>
      <w:r w:rsidR="00CB5D76" w:rsidRPr="00586CEB">
        <w:rPr>
          <w:rFonts w:ascii="Times New Roman" w:hAnsi="Times New Roman" w:cs="Times New Roman"/>
          <w:i/>
          <w:iCs/>
          <w:color w:val="000000"/>
          <w:sz w:val="28"/>
          <w:szCs w:val="28"/>
        </w:rPr>
        <w:t>Corbiere</w:t>
      </w:r>
      <w:r w:rsidR="00CB5D76" w:rsidRPr="00586CEB">
        <w:rPr>
          <w:rFonts w:ascii="Times New Roman" w:hAnsi="Times New Roman" w:cs="Times New Roman"/>
          <w:color w:val="000000"/>
          <w:sz w:val="28"/>
          <w:szCs w:val="28"/>
        </w:rPr>
        <w:t xml:space="preserve"> at para 13)</w:t>
      </w:r>
      <w:r w:rsidR="00754835" w:rsidRPr="00586CEB">
        <w:rPr>
          <w:rFonts w:ascii="Times New Roman" w:eastAsia="Times New Roman" w:hAnsi="Times New Roman" w:cs="Times New Roman"/>
          <w:sz w:val="28"/>
          <w:szCs w:val="28"/>
        </w:rPr>
        <w:t xml:space="preserve">. In the present case, the Respondent </w:t>
      </w:r>
      <w:r w:rsidR="00C668B2" w:rsidRPr="00586CEB">
        <w:rPr>
          <w:rFonts w:ascii="Times New Roman" w:eastAsia="Times New Roman" w:hAnsi="Times New Roman" w:cs="Times New Roman"/>
          <w:sz w:val="28"/>
          <w:szCs w:val="28"/>
        </w:rPr>
        <w:t>concedes</w:t>
      </w:r>
      <w:r w:rsidR="00754835" w:rsidRPr="00586CEB">
        <w:rPr>
          <w:rFonts w:ascii="Times New Roman" w:eastAsia="Times New Roman" w:hAnsi="Times New Roman" w:cs="Times New Roman"/>
          <w:sz w:val="28"/>
          <w:szCs w:val="28"/>
        </w:rPr>
        <w:t xml:space="preserve"> that the </w:t>
      </w:r>
      <w:r w:rsidR="00754835" w:rsidRPr="00586CEB">
        <w:rPr>
          <w:rFonts w:ascii="Times New Roman" w:eastAsia="Times New Roman" w:hAnsi="Times New Roman" w:cs="Times New Roman"/>
          <w:i/>
          <w:iCs/>
          <w:sz w:val="28"/>
          <w:szCs w:val="28"/>
        </w:rPr>
        <w:t>new regulations</w:t>
      </w:r>
      <w:r w:rsidR="00754835" w:rsidRPr="00586CEB">
        <w:rPr>
          <w:rFonts w:ascii="Times New Roman" w:eastAsia="Times New Roman" w:hAnsi="Times New Roman" w:cs="Times New Roman"/>
          <w:sz w:val="28"/>
          <w:szCs w:val="28"/>
        </w:rPr>
        <w:t xml:space="preserve"> create a distinction </w:t>
      </w:r>
      <w:proofErr w:type="gramStart"/>
      <w:r w:rsidR="00754835" w:rsidRPr="00586CEB">
        <w:rPr>
          <w:rFonts w:ascii="Times New Roman" w:eastAsia="Times New Roman" w:hAnsi="Times New Roman" w:cs="Times New Roman"/>
          <w:sz w:val="28"/>
          <w:szCs w:val="28"/>
        </w:rPr>
        <w:t>on the basis of</w:t>
      </w:r>
      <w:proofErr w:type="gramEnd"/>
      <w:r w:rsidR="00754835" w:rsidRPr="00586CEB">
        <w:rPr>
          <w:rFonts w:ascii="Times New Roman" w:eastAsia="Times New Roman" w:hAnsi="Times New Roman" w:cs="Times New Roman"/>
          <w:sz w:val="28"/>
          <w:szCs w:val="28"/>
        </w:rPr>
        <w:t xml:space="preserve"> </w:t>
      </w:r>
      <w:proofErr w:type="gramStart"/>
      <w:r w:rsidR="00754835" w:rsidRPr="00586CEB">
        <w:rPr>
          <w:rFonts w:ascii="Times New Roman" w:eastAsia="Times New Roman" w:hAnsi="Times New Roman" w:cs="Times New Roman"/>
          <w:sz w:val="28"/>
          <w:szCs w:val="28"/>
        </w:rPr>
        <w:t>age</w:t>
      </w:r>
      <w:r w:rsidR="00CB5D76" w:rsidRPr="00586CEB">
        <w:rPr>
          <w:rFonts w:ascii="Times New Roman" w:eastAsia="Times New Roman" w:hAnsi="Times New Roman" w:cs="Times New Roman"/>
          <w:sz w:val="28"/>
          <w:szCs w:val="28"/>
        </w:rPr>
        <w:t xml:space="preserve">, </w:t>
      </w:r>
      <w:r w:rsidR="00754835" w:rsidRPr="00586CEB">
        <w:rPr>
          <w:rFonts w:ascii="Times New Roman" w:eastAsia="Times New Roman" w:hAnsi="Times New Roman" w:cs="Times New Roman"/>
          <w:sz w:val="28"/>
          <w:szCs w:val="28"/>
        </w:rPr>
        <w:t>but</w:t>
      </w:r>
      <w:proofErr w:type="gramEnd"/>
      <w:r w:rsidR="00754835" w:rsidRPr="00586CEB">
        <w:rPr>
          <w:rFonts w:ascii="Times New Roman" w:eastAsia="Times New Roman" w:hAnsi="Times New Roman" w:cs="Times New Roman"/>
          <w:sz w:val="28"/>
          <w:szCs w:val="28"/>
        </w:rPr>
        <w:t xml:space="preserve"> </w:t>
      </w:r>
      <w:r w:rsidR="00CB5D76" w:rsidRPr="00586CEB">
        <w:rPr>
          <w:rFonts w:ascii="Times New Roman" w:eastAsia="Times New Roman" w:hAnsi="Times New Roman" w:cs="Times New Roman"/>
          <w:sz w:val="28"/>
          <w:szCs w:val="28"/>
        </w:rPr>
        <w:t>submits</w:t>
      </w:r>
      <w:r w:rsidR="00754835" w:rsidRPr="00586CEB">
        <w:rPr>
          <w:rFonts w:ascii="Times New Roman" w:eastAsia="Times New Roman" w:hAnsi="Times New Roman" w:cs="Times New Roman"/>
          <w:sz w:val="28"/>
          <w:szCs w:val="28"/>
        </w:rPr>
        <w:t xml:space="preserve"> there are no further distinctions made </w:t>
      </w:r>
      <w:proofErr w:type="gramStart"/>
      <w:r w:rsidR="00754835" w:rsidRPr="00586CEB">
        <w:rPr>
          <w:rFonts w:ascii="Times New Roman" w:eastAsia="Times New Roman" w:hAnsi="Times New Roman" w:cs="Times New Roman"/>
          <w:sz w:val="28"/>
          <w:szCs w:val="28"/>
        </w:rPr>
        <w:t>on the basis of</w:t>
      </w:r>
      <w:proofErr w:type="gramEnd"/>
      <w:r w:rsidR="00754835" w:rsidRPr="00586CEB">
        <w:rPr>
          <w:rFonts w:ascii="Times New Roman" w:eastAsia="Times New Roman" w:hAnsi="Times New Roman" w:cs="Times New Roman"/>
          <w:sz w:val="28"/>
          <w:szCs w:val="28"/>
        </w:rPr>
        <w:t xml:space="preserve"> another enumerated or analogous ground</w:t>
      </w:r>
      <w:r w:rsidR="00245FBD" w:rsidRPr="00586CEB">
        <w:rPr>
          <w:rFonts w:ascii="Times New Roman" w:eastAsia="Times New Roman" w:hAnsi="Times New Roman" w:cs="Times New Roman"/>
          <w:sz w:val="28"/>
          <w:szCs w:val="28"/>
        </w:rPr>
        <w:t xml:space="preserve"> (RF at 43)</w:t>
      </w:r>
      <w:r w:rsidR="00754835" w:rsidRPr="00586CEB">
        <w:rPr>
          <w:rFonts w:ascii="Times New Roman" w:eastAsia="Times New Roman" w:hAnsi="Times New Roman" w:cs="Times New Roman"/>
          <w:sz w:val="28"/>
          <w:szCs w:val="28"/>
        </w:rPr>
        <w:t xml:space="preserve">. Although my friends submit that </w:t>
      </w:r>
      <w:r w:rsidR="00245FBD" w:rsidRPr="00586CEB">
        <w:rPr>
          <w:rFonts w:ascii="Times New Roman" w:eastAsia="Times New Roman" w:hAnsi="Times New Roman" w:cs="Times New Roman"/>
          <w:sz w:val="28"/>
          <w:szCs w:val="28"/>
        </w:rPr>
        <w:t>poverty (social condition)</w:t>
      </w:r>
      <w:r w:rsidR="00754835" w:rsidRPr="00586CEB">
        <w:rPr>
          <w:rFonts w:ascii="Times New Roman" w:eastAsia="Times New Roman" w:hAnsi="Times New Roman" w:cs="Times New Roman"/>
          <w:sz w:val="28"/>
          <w:szCs w:val="28"/>
        </w:rPr>
        <w:t xml:space="preserve"> should be recognized as an analogous ground, such recognition would be contrary to historically recognized qualifications for and characterizations of </w:t>
      </w:r>
      <w:r w:rsidR="007C467D" w:rsidRPr="00586CEB">
        <w:rPr>
          <w:rFonts w:ascii="Times New Roman" w:eastAsia="Times New Roman" w:hAnsi="Times New Roman" w:cs="Times New Roman"/>
          <w:sz w:val="28"/>
          <w:szCs w:val="28"/>
        </w:rPr>
        <w:t xml:space="preserve">enumerated and </w:t>
      </w:r>
      <w:r w:rsidR="00754835" w:rsidRPr="00586CEB">
        <w:rPr>
          <w:rFonts w:ascii="Times New Roman" w:eastAsia="Times New Roman" w:hAnsi="Times New Roman" w:cs="Times New Roman"/>
          <w:sz w:val="28"/>
          <w:szCs w:val="28"/>
        </w:rPr>
        <w:t xml:space="preserve">analogous grounds. </w:t>
      </w:r>
    </w:p>
    <w:p w14:paraId="6F39C2AD" w14:textId="68889EE0" w:rsidR="00754835" w:rsidRPr="00586CEB" w:rsidRDefault="00754835">
      <w:pPr>
        <w:spacing w:line="240" w:lineRule="auto"/>
        <w:jc w:val="both"/>
        <w:rPr>
          <w:rFonts w:ascii="Times New Roman" w:eastAsia="Times New Roman" w:hAnsi="Times New Roman" w:cs="Times New Roman"/>
          <w:sz w:val="28"/>
          <w:szCs w:val="28"/>
        </w:rPr>
      </w:pPr>
    </w:p>
    <w:p w14:paraId="00000013" w14:textId="794D8D05" w:rsidR="00934474" w:rsidRPr="00586CEB" w:rsidRDefault="00000000">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Unlike the other recognized analogous grounds like sexual orientation, it would be problematic to consider </w:t>
      </w:r>
      <w:r w:rsidR="005E5DFD" w:rsidRPr="00586CEB">
        <w:rPr>
          <w:rFonts w:ascii="Times New Roman" w:eastAsia="Times New Roman" w:hAnsi="Times New Roman" w:cs="Times New Roman"/>
          <w:sz w:val="28"/>
          <w:szCs w:val="28"/>
        </w:rPr>
        <w:t>social condition</w:t>
      </w:r>
      <w:r w:rsidRPr="00586CEB">
        <w:rPr>
          <w:rFonts w:ascii="Times New Roman" w:eastAsia="Times New Roman" w:hAnsi="Times New Roman" w:cs="Times New Roman"/>
          <w:sz w:val="28"/>
          <w:szCs w:val="28"/>
        </w:rPr>
        <w:t xml:space="preserve"> as an analogous ground because one’s financial</w:t>
      </w:r>
      <w:r w:rsidR="005E5DFD" w:rsidRPr="00586CEB">
        <w:rPr>
          <w:rFonts w:ascii="Times New Roman" w:eastAsia="Times New Roman" w:hAnsi="Times New Roman" w:cs="Times New Roman"/>
          <w:sz w:val="28"/>
          <w:szCs w:val="28"/>
        </w:rPr>
        <w:t>, living, and educational</w:t>
      </w:r>
      <w:r w:rsidRPr="00586CEB">
        <w:rPr>
          <w:rFonts w:ascii="Times New Roman" w:eastAsia="Times New Roman" w:hAnsi="Times New Roman" w:cs="Times New Roman"/>
          <w:sz w:val="28"/>
          <w:szCs w:val="28"/>
        </w:rPr>
        <w:t xml:space="preserve"> circumstances are more flexible and may change over time as individuals come into and out of poverty</w:t>
      </w:r>
      <w:r w:rsidR="00CB5D76" w:rsidRPr="00586CEB">
        <w:rPr>
          <w:rFonts w:ascii="Times New Roman" w:eastAsia="Times New Roman" w:hAnsi="Times New Roman" w:cs="Times New Roman"/>
          <w:sz w:val="28"/>
          <w:szCs w:val="28"/>
        </w:rPr>
        <w:t xml:space="preserve"> </w:t>
      </w:r>
      <w:r w:rsidR="00CB5D76" w:rsidRPr="00586CEB">
        <w:rPr>
          <w:rFonts w:ascii="Times New Roman" w:eastAsia="Times New Roman" w:hAnsi="Times New Roman" w:cs="Times New Roman"/>
          <w:i/>
          <w:iCs/>
          <w:sz w:val="28"/>
          <w:szCs w:val="28"/>
        </w:rPr>
        <w:t>(</w:t>
      </w:r>
      <w:r w:rsidR="00245FBD" w:rsidRPr="00586CEB">
        <w:rPr>
          <w:rFonts w:ascii="Times New Roman" w:eastAsia="Times New Roman" w:hAnsi="Times New Roman" w:cs="Times New Roman"/>
          <w:sz w:val="28"/>
          <w:szCs w:val="28"/>
        </w:rPr>
        <w:t xml:space="preserve">RF at 45 citing </w:t>
      </w:r>
      <w:r w:rsidR="00CB5D76" w:rsidRPr="00586CEB">
        <w:rPr>
          <w:rFonts w:ascii="Times New Roman" w:hAnsi="Times New Roman" w:cs="Times New Roman"/>
          <w:i/>
          <w:iCs/>
          <w:color w:val="000000"/>
          <w:sz w:val="28"/>
          <w:szCs w:val="28"/>
        </w:rPr>
        <w:t xml:space="preserve">Toussaint </w:t>
      </w:r>
      <w:r w:rsidR="00CB5D76" w:rsidRPr="00586CEB">
        <w:rPr>
          <w:rFonts w:ascii="Times New Roman" w:hAnsi="Times New Roman" w:cs="Times New Roman"/>
          <w:color w:val="000000"/>
          <w:sz w:val="28"/>
          <w:szCs w:val="28"/>
        </w:rPr>
        <w:t>at para 75)</w:t>
      </w:r>
      <w:r w:rsidRPr="00586CEB">
        <w:rPr>
          <w:rFonts w:ascii="Times New Roman" w:eastAsia="Times New Roman" w:hAnsi="Times New Roman" w:cs="Times New Roman"/>
          <w:sz w:val="28"/>
          <w:szCs w:val="28"/>
        </w:rPr>
        <w:t xml:space="preserve">. </w:t>
      </w:r>
      <w:r w:rsidR="005E5DFD" w:rsidRPr="00586CEB">
        <w:rPr>
          <w:rFonts w:ascii="Times New Roman" w:eastAsia="Times New Roman" w:hAnsi="Times New Roman" w:cs="Times New Roman"/>
          <w:sz w:val="28"/>
          <w:szCs w:val="28"/>
        </w:rPr>
        <w:t>One’s social condition</w:t>
      </w:r>
      <w:r w:rsidR="00480216" w:rsidRPr="00586CEB">
        <w:rPr>
          <w:rFonts w:ascii="Times New Roman" w:eastAsia="Times New Roman" w:hAnsi="Times New Roman" w:cs="Times New Roman"/>
          <w:sz w:val="28"/>
          <w:szCs w:val="28"/>
        </w:rPr>
        <w:t xml:space="preserve"> </w:t>
      </w:r>
      <w:r w:rsidR="00CD4575" w:rsidRPr="00586CEB">
        <w:rPr>
          <w:rFonts w:ascii="Times New Roman" w:eastAsia="Times New Roman" w:hAnsi="Times New Roman" w:cs="Times New Roman"/>
          <w:sz w:val="28"/>
          <w:szCs w:val="28"/>
        </w:rPr>
        <w:t>is not similarly</w:t>
      </w:r>
      <w:r w:rsidR="00480216" w:rsidRPr="00586CEB">
        <w:rPr>
          <w:rFonts w:ascii="Times New Roman" w:eastAsia="Times New Roman" w:hAnsi="Times New Roman" w:cs="Times New Roman"/>
          <w:sz w:val="28"/>
          <w:szCs w:val="28"/>
        </w:rPr>
        <w:t xml:space="preserve"> unchangeable </w:t>
      </w:r>
      <w:r w:rsidR="00EC2794" w:rsidRPr="00586CEB">
        <w:rPr>
          <w:rFonts w:ascii="Times New Roman" w:eastAsia="Times New Roman" w:hAnsi="Times New Roman" w:cs="Times New Roman"/>
          <w:sz w:val="28"/>
          <w:szCs w:val="28"/>
        </w:rPr>
        <w:t xml:space="preserve">as it </w:t>
      </w:r>
      <w:r w:rsidR="00480216" w:rsidRPr="00586CEB">
        <w:rPr>
          <w:rFonts w:ascii="Times New Roman" w:eastAsia="Times New Roman" w:hAnsi="Times New Roman" w:cs="Times New Roman"/>
          <w:sz w:val="28"/>
          <w:szCs w:val="28"/>
        </w:rPr>
        <w:t>does inherently define individuals</w:t>
      </w:r>
      <w:r w:rsidR="00EC2794" w:rsidRPr="00586CEB">
        <w:rPr>
          <w:rFonts w:ascii="Times New Roman" w:eastAsia="Times New Roman" w:hAnsi="Times New Roman" w:cs="Times New Roman"/>
          <w:sz w:val="28"/>
          <w:szCs w:val="28"/>
        </w:rPr>
        <w:t xml:space="preserve"> in the sense that it</w:t>
      </w:r>
      <w:r w:rsidR="00480216" w:rsidRPr="00586CEB">
        <w:rPr>
          <w:rFonts w:ascii="Times New Roman" w:eastAsia="Times New Roman" w:hAnsi="Times New Roman" w:cs="Times New Roman"/>
          <w:sz w:val="28"/>
          <w:szCs w:val="28"/>
        </w:rPr>
        <w:t xml:space="preserve"> make</w:t>
      </w:r>
      <w:r w:rsidR="00EC2794" w:rsidRPr="00586CEB">
        <w:rPr>
          <w:rFonts w:ascii="Times New Roman" w:eastAsia="Times New Roman" w:hAnsi="Times New Roman" w:cs="Times New Roman"/>
          <w:sz w:val="28"/>
          <w:szCs w:val="28"/>
        </w:rPr>
        <w:t>s</w:t>
      </w:r>
      <w:r w:rsidR="00480216" w:rsidRPr="00586CEB">
        <w:rPr>
          <w:rFonts w:ascii="Times New Roman" w:eastAsia="Times New Roman" w:hAnsi="Times New Roman" w:cs="Times New Roman"/>
          <w:sz w:val="28"/>
          <w:szCs w:val="28"/>
        </w:rPr>
        <w:t xml:space="preserve"> their condition permanent</w:t>
      </w:r>
      <w:r w:rsidR="00CD4575" w:rsidRPr="00586CEB">
        <w:rPr>
          <w:rFonts w:ascii="Times New Roman" w:eastAsia="Times New Roman" w:hAnsi="Times New Roman" w:cs="Times New Roman"/>
          <w:sz w:val="28"/>
          <w:szCs w:val="28"/>
        </w:rPr>
        <w:t xml:space="preserve"> nor is it an adopted emblem of identity in the same way that religion or marital status are</w:t>
      </w:r>
      <w:r w:rsidR="00565DFC" w:rsidRPr="00586CEB">
        <w:rPr>
          <w:rFonts w:ascii="Times New Roman" w:eastAsia="Times New Roman" w:hAnsi="Times New Roman" w:cs="Times New Roman"/>
          <w:sz w:val="28"/>
          <w:szCs w:val="28"/>
        </w:rPr>
        <w:t xml:space="preserve"> </w:t>
      </w:r>
      <w:r w:rsidR="0029049B" w:rsidRPr="00586CEB">
        <w:rPr>
          <w:rFonts w:ascii="Times New Roman" w:eastAsia="Times New Roman" w:hAnsi="Times New Roman" w:cs="Times New Roman"/>
          <w:sz w:val="28"/>
          <w:szCs w:val="28"/>
        </w:rPr>
        <w:t>(</w:t>
      </w:r>
      <w:r w:rsidR="00245FBD" w:rsidRPr="00586CEB">
        <w:rPr>
          <w:rFonts w:ascii="Times New Roman" w:eastAsia="Times New Roman" w:hAnsi="Times New Roman" w:cs="Times New Roman"/>
          <w:sz w:val="28"/>
          <w:szCs w:val="28"/>
        </w:rPr>
        <w:t xml:space="preserve">RF at para 45 citing </w:t>
      </w:r>
      <w:r w:rsidR="00565DFC" w:rsidRPr="00586CEB">
        <w:rPr>
          <w:rFonts w:ascii="Times New Roman" w:eastAsia="Times New Roman" w:hAnsi="Times New Roman" w:cs="Times New Roman"/>
          <w:i/>
          <w:iCs/>
          <w:sz w:val="28"/>
          <w:szCs w:val="28"/>
        </w:rPr>
        <w:t xml:space="preserve">Toussaint </w:t>
      </w:r>
      <w:r w:rsidR="00565DFC" w:rsidRPr="00586CEB">
        <w:rPr>
          <w:rFonts w:ascii="Times New Roman" w:eastAsia="Times New Roman" w:hAnsi="Times New Roman" w:cs="Times New Roman"/>
          <w:sz w:val="28"/>
          <w:szCs w:val="28"/>
        </w:rPr>
        <w:t>at para 76)</w:t>
      </w:r>
      <w:r w:rsidR="00480216" w:rsidRPr="00586CEB">
        <w:rPr>
          <w:rFonts w:ascii="Times New Roman" w:eastAsia="Times New Roman" w:hAnsi="Times New Roman" w:cs="Times New Roman"/>
          <w:sz w:val="28"/>
          <w:szCs w:val="28"/>
        </w:rPr>
        <w:t>.</w:t>
      </w:r>
      <w:r w:rsidR="0029049B" w:rsidRPr="00586CEB">
        <w:rPr>
          <w:rFonts w:ascii="Times New Roman" w:eastAsia="Times New Roman" w:hAnsi="Times New Roman" w:cs="Times New Roman"/>
          <w:sz w:val="28"/>
          <w:szCs w:val="28"/>
        </w:rPr>
        <w:t xml:space="preserve"> </w:t>
      </w:r>
      <w:r w:rsidR="00480216" w:rsidRPr="00586CEB">
        <w:rPr>
          <w:rFonts w:ascii="Times New Roman" w:eastAsia="Times New Roman" w:hAnsi="Times New Roman" w:cs="Times New Roman"/>
          <w:sz w:val="28"/>
          <w:szCs w:val="28"/>
        </w:rPr>
        <w:t>Additionally</w:t>
      </w:r>
      <w:r w:rsidRPr="00586CEB">
        <w:rPr>
          <w:rFonts w:ascii="Times New Roman" w:eastAsia="Times New Roman" w:hAnsi="Times New Roman" w:cs="Times New Roman"/>
          <w:sz w:val="28"/>
          <w:szCs w:val="28"/>
        </w:rPr>
        <w:t xml:space="preserve">, the government has a legitimate interest in expecting </w:t>
      </w:r>
      <w:r w:rsidR="007D5503" w:rsidRPr="00586CEB">
        <w:rPr>
          <w:rFonts w:ascii="Times New Roman" w:eastAsia="Times New Roman" w:hAnsi="Times New Roman" w:cs="Times New Roman"/>
          <w:sz w:val="28"/>
          <w:szCs w:val="28"/>
        </w:rPr>
        <w:t xml:space="preserve">the </w:t>
      </w:r>
      <w:r w:rsidR="006E1AFC" w:rsidRPr="00586CEB">
        <w:rPr>
          <w:rFonts w:ascii="Times New Roman" w:eastAsia="Times New Roman" w:hAnsi="Times New Roman" w:cs="Times New Roman"/>
          <w:sz w:val="28"/>
          <w:szCs w:val="28"/>
        </w:rPr>
        <w:t xml:space="preserve">implications </w:t>
      </w:r>
      <w:r w:rsidRPr="00586CEB">
        <w:rPr>
          <w:rFonts w:ascii="Times New Roman" w:eastAsia="Times New Roman" w:hAnsi="Times New Roman" w:cs="Times New Roman"/>
          <w:sz w:val="28"/>
          <w:szCs w:val="28"/>
        </w:rPr>
        <w:t xml:space="preserve">of </w:t>
      </w:r>
      <w:r w:rsidR="007D5503" w:rsidRPr="00586CEB">
        <w:rPr>
          <w:rFonts w:ascii="Times New Roman" w:eastAsia="Times New Roman" w:hAnsi="Times New Roman" w:cs="Times New Roman"/>
          <w:sz w:val="28"/>
          <w:szCs w:val="28"/>
        </w:rPr>
        <w:t>one’s social condition</w:t>
      </w:r>
      <w:r w:rsidRPr="00586CEB">
        <w:rPr>
          <w:rFonts w:ascii="Times New Roman" w:eastAsia="Times New Roman" w:hAnsi="Times New Roman" w:cs="Times New Roman"/>
          <w:sz w:val="28"/>
          <w:szCs w:val="28"/>
        </w:rPr>
        <w:t xml:space="preserve"> to change</w:t>
      </w:r>
      <w:r w:rsidR="00CB5D76" w:rsidRPr="00586CEB">
        <w:rPr>
          <w:rFonts w:ascii="Times New Roman" w:eastAsia="Times New Roman" w:hAnsi="Times New Roman" w:cs="Times New Roman"/>
          <w:sz w:val="28"/>
          <w:szCs w:val="28"/>
        </w:rPr>
        <w:t xml:space="preserve"> (</w:t>
      </w:r>
      <w:r w:rsidR="0029049B" w:rsidRPr="00586CEB">
        <w:rPr>
          <w:rFonts w:ascii="Times New Roman" w:eastAsia="Times New Roman" w:hAnsi="Times New Roman" w:cs="Times New Roman"/>
          <w:sz w:val="28"/>
          <w:szCs w:val="28"/>
        </w:rPr>
        <w:t>RF at 46 citing</w:t>
      </w:r>
      <w:r w:rsidR="00F55572" w:rsidRPr="00586CEB">
        <w:rPr>
          <w:rFonts w:ascii="Times New Roman" w:eastAsia="Times New Roman" w:hAnsi="Times New Roman" w:cs="Times New Roman"/>
          <w:i/>
          <w:iCs/>
          <w:sz w:val="28"/>
          <w:szCs w:val="28"/>
        </w:rPr>
        <w:t xml:space="preserve"> </w:t>
      </w:r>
      <w:r w:rsidR="00CB5D76" w:rsidRPr="00586CEB">
        <w:rPr>
          <w:rFonts w:ascii="Times New Roman" w:hAnsi="Times New Roman" w:cs="Times New Roman"/>
          <w:i/>
          <w:iCs/>
          <w:color w:val="000000"/>
          <w:sz w:val="28"/>
          <w:szCs w:val="28"/>
        </w:rPr>
        <w:t xml:space="preserve">Boulter </w:t>
      </w:r>
      <w:r w:rsidR="00CB5D76" w:rsidRPr="00586CEB">
        <w:rPr>
          <w:rFonts w:ascii="Times New Roman" w:hAnsi="Times New Roman" w:cs="Times New Roman"/>
          <w:color w:val="000000"/>
          <w:sz w:val="28"/>
          <w:szCs w:val="28"/>
        </w:rPr>
        <w:t>at para 42</w:t>
      </w:r>
      <w:r w:rsidR="00CB5D76" w:rsidRPr="00586CEB">
        <w:rPr>
          <w:rFonts w:ascii="Times New Roman" w:hAnsi="Times New Roman" w:cs="Times New Roman"/>
          <w:i/>
          <w:iCs/>
          <w:color w:val="000000"/>
          <w:sz w:val="28"/>
          <w:szCs w:val="28"/>
        </w:rPr>
        <w:t>)</w:t>
      </w:r>
      <w:r w:rsidRPr="00586CEB">
        <w:rPr>
          <w:rFonts w:ascii="Times New Roman" w:eastAsia="Times New Roman" w:hAnsi="Times New Roman" w:cs="Times New Roman"/>
          <w:sz w:val="28"/>
          <w:szCs w:val="28"/>
        </w:rPr>
        <w:t xml:space="preserve">. The enactment of the </w:t>
      </w:r>
      <w:r w:rsidRPr="00586CEB">
        <w:rPr>
          <w:rFonts w:ascii="Times New Roman" w:eastAsia="Times New Roman" w:hAnsi="Times New Roman" w:cs="Times New Roman"/>
          <w:i/>
          <w:sz w:val="28"/>
          <w:szCs w:val="28"/>
        </w:rPr>
        <w:t>New Regulations</w:t>
      </w:r>
      <w:r w:rsidRPr="00586CEB">
        <w:rPr>
          <w:rFonts w:ascii="Times New Roman" w:eastAsia="Times New Roman" w:hAnsi="Times New Roman" w:cs="Times New Roman"/>
          <w:sz w:val="28"/>
          <w:szCs w:val="28"/>
        </w:rPr>
        <w:t xml:space="preserve"> demonstrates </w:t>
      </w:r>
      <w:r w:rsidR="00565DFC" w:rsidRPr="00586CEB">
        <w:rPr>
          <w:rFonts w:ascii="Times New Roman" w:eastAsia="Times New Roman" w:hAnsi="Times New Roman" w:cs="Times New Roman"/>
          <w:sz w:val="28"/>
          <w:szCs w:val="28"/>
        </w:rPr>
        <w:t xml:space="preserve">that </w:t>
      </w:r>
      <w:r w:rsidRPr="00586CEB">
        <w:rPr>
          <w:rFonts w:ascii="Times New Roman" w:eastAsia="Times New Roman" w:hAnsi="Times New Roman" w:cs="Times New Roman"/>
          <w:sz w:val="28"/>
          <w:szCs w:val="28"/>
        </w:rPr>
        <w:t>the government</w:t>
      </w:r>
      <w:r w:rsidR="00565DFC" w:rsidRPr="00586CEB">
        <w:rPr>
          <w:rFonts w:ascii="Times New Roman" w:eastAsia="Times New Roman" w:hAnsi="Times New Roman" w:cs="Times New Roman"/>
          <w:sz w:val="28"/>
          <w:szCs w:val="28"/>
        </w:rPr>
        <w:t xml:space="preserve"> is</w:t>
      </w:r>
      <w:r w:rsidRPr="00586CEB">
        <w:rPr>
          <w:rFonts w:ascii="Times New Roman" w:eastAsia="Times New Roman" w:hAnsi="Times New Roman" w:cs="Times New Roman"/>
          <w:sz w:val="28"/>
          <w:szCs w:val="28"/>
        </w:rPr>
        <w:t xml:space="preserve"> active</w:t>
      </w:r>
      <w:r w:rsidR="00565DFC" w:rsidRPr="00586CEB">
        <w:rPr>
          <w:rFonts w:ascii="Times New Roman" w:eastAsia="Times New Roman" w:hAnsi="Times New Roman" w:cs="Times New Roman"/>
          <w:sz w:val="28"/>
          <w:szCs w:val="28"/>
        </w:rPr>
        <w:t>ly</w:t>
      </w:r>
      <w:r w:rsidRPr="00586CEB">
        <w:rPr>
          <w:rFonts w:ascii="Times New Roman" w:eastAsia="Times New Roman" w:hAnsi="Times New Roman" w:cs="Times New Roman"/>
          <w:sz w:val="28"/>
          <w:szCs w:val="28"/>
        </w:rPr>
        <w:t xml:space="preserve"> involve</w:t>
      </w:r>
      <w:r w:rsidR="00565DFC" w:rsidRPr="00586CEB">
        <w:rPr>
          <w:rFonts w:ascii="Times New Roman" w:eastAsia="Times New Roman" w:hAnsi="Times New Roman" w:cs="Times New Roman"/>
          <w:sz w:val="28"/>
          <w:szCs w:val="28"/>
        </w:rPr>
        <w:t>d</w:t>
      </w:r>
      <w:r w:rsidRPr="00586CEB">
        <w:rPr>
          <w:rFonts w:ascii="Times New Roman" w:eastAsia="Times New Roman" w:hAnsi="Times New Roman" w:cs="Times New Roman"/>
          <w:sz w:val="28"/>
          <w:szCs w:val="28"/>
        </w:rPr>
        <w:t xml:space="preserve"> in assisting the members of northern Ontario change </w:t>
      </w:r>
      <w:r w:rsidR="00565DFC" w:rsidRPr="00586CEB">
        <w:rPr>
          <w:rFonts w:ascii="Times New Roman" w:eastAsia="Times New Roman" w:hAnsi="Times New Roman" w:cs="Times New Roman"/>
          <w:sz w:val="28"/>
          <w:szCs w:val="28"/>
        </w:rPr>
        <w:t>their financial circumstances</w:t>
      </w:r>
      <w:r w:rsidR="00F55572" w:rsidRPr="00586CEB">
        <w:rPr>
          <w:rFonts w:ascii="Times New Roman" w:eastAsia="Times New Roman" w:hAnsi="Times New Roman" w:cs="Times New Roman"/>
          <w:sz w:val="28"/>
          <w:szCs w:val="28"/>
        </w:rPr>
        <w:t xml:space="preserve"> (RF at 46)</w:t>
      </w:r>
      <w:r w:rsidRPr="00586CEB">
        <w:rPr>
          <w:rFonts w:ascii="Times New Roman" w:eastAsia="Times New Roman" w:hAnsi="Times New Roman" w:cs="Times New Roman"/>
          <w:sz w:val="28"/>
          <w:szCs w:val="28"/>
        </w:rPr>
        <w:t xml:space="preserve">. </w:t>
      </w:r>
      <w:r w:rsidR="00480216" w:rsidRPr="00586CEB">
        <w:rPr>
          <w:rFonts w:ascii="Times New Roman" w:eastAsia="Times New Roman" w:hAnsi="Times New Roman" w:cs="Times New Roman"/>
          <w:sz w:val="28"/>
          <w:szCs w:val="28"/>
        </w:rPr>
        <w:t>By promoting self-sufficiency,</w:t>
      </w:r>
      <w:r w:rsidR="0029049B" w:rsidRPr="00586CEB">
        <w:rPr>
          <w:rFonts w:ascii="Times New Roman" w:eastAsia="Times New Roman" w:hAnsi="Times New Roman" w:cs="Times New Roman"/>
          <w:sz w:val="28"/>
          <w:szCs w:val="28"/>
        </w:rPr>
        <w:t xml:space="preserve"> the government is </w:t>
      </w:r>
      <w:r w:rsidR="00F55572" w:rsidRPr="00586CEB">
        <w:rPr>
          <w:rFonts w:ascii="Times New Roman" w:eastAsia="Times New Roman" w:hAnsi="Times New Roman" w:cs="Times New Roman"/>
          <w:sz w:val="28"/>
          <w:szCs w:val="28"/>
        </w:rPr>
        <w:t>working</w:t>
      </w:r>
      <w:r w:rsidR="0029049B" w:rsidRPr="00586CEB">
        <w:rPr>
          <w:rFonts w:ascii="Times New Roman" w:eastAsia="Times New Roman" w:hAnsi="Times New Roman" w:cs="Times New Roman"/>
          <w:sz w:val="28"/>
          <w:szCs w:val="28"/>
        </w:rPr>
        <w:t xml:space="preserve"> to eradicate </w:t>
      </w:r>
      <w:r w:rsidR="006E1AFC" w:rsidRPr="00586CEB">
        <w:rPr>
          <w:rFonts w:ascii="Times New Roman" w:eastAsia="Times New Roman" w:hAnsi="Times New Roman" w:cs="Times New Roman"/>
          <w:sz w:val="28"/>
          <w:szCs w:val="28"/>
        </w:rPr>
        <w:t xml:space="preserve">the effects of </w:t>
      </w:r>
      <w:r w:rsidR="0029049B" w:rsidRPr="00586CEB">
        <w:rPr>
          <w:rFonts w:ascii="Times New Roman" w:eastAsia="Times New Roman" w:hAnsi="Times New Roman" w:cs="Times New Roman"/>
          <w:sz w:val="28"/>
          <w:szCs w:val="28"/>
        </w:rPr>
        <w:t xml:space="preserve">poverty </w:t>
      </w:r>
      <w:r w:rsidR="006E1AFC" w:rsidRPr="00586CEB">
        <w:rPr>
          <w:rFonts w:ascii="Times New Roman" w:eastAsia="Times New Roman" w:hAnsi="Times New Roman" w:cs="Times New Roman"/>
          <w:sz w:val="28"/>
          <w:szCs w:val="28"/>
        </w:rPr>
        <w:t xml:space="preserve">felt by youth </w:t>
      </w:r>
      <w:r w:rsidR="00F55572" w:rsidRPr="00586CEB">
        <w:rPr>
          <w:rFonts w:ascii="Times New Roman" w:eastAsia="Times New Roman" w:hAnsi="Times New Roman" w:cs="Times New Roman"/>
          <w:sz w:val="28"/>
          <w:szCs w:val="28"/>
        </w:rPr>
        <w:t xml:space="preserve">by helping </w:t>
      </w:r>
      <w:r w:rsidR="006E1AFC" w:rsidRPr="00586CEB">
        <w:rPr>
          <w:rFonts w:ascii="Times New Roman" w:eastAsia="Times New Roman" w:hAnsi="Times New Roman" w:cs="Times New Roman"/>
          <w:sz w:val="28"/>
          <w:szCs w:val="28"/>
        </w:rPr>
        <w:t xml:space="preserve">to </w:t>
      </w:r>
      <w:r w:rsidR="00F55572" w:rsidRPr="00586CEB">
        <w:rPr>
          <w:rFonts w:ascii="Times New Roman" w:eastAsia="Times New Roman" w:hAnsi="Times New Roman" w:cs="Times New Roman"/>
          <w:sz w:val="28"/>
          <w:szCs w:val="28"/>
        </w:rPr>
        <w:t>ensure that</w:t>
      </w:r>
      <w:r w:rsidR="00480216" w:rsidRPr="00586CEB">
        <w:rPr>
          <w:rFonts w:ascii="Times New Roman" w:eastAsia="Times New Roman" w:hAnsi="Times New Roman" w:cs="Times New Roman"/>
          <w:sz w:val="28"/>
          <w:szCs w:val="28"/>
        </w:rPr>
        <w:t xml:space="preserve"> individuals </w:t>
      </w:r>
      <w:r w:rsidR="00F55572" w:rsidRPr="00586CEB">
        <w:rPr>
          <w:rFonts w:ascii="Times New Roman" w:eastAsia="Times New Roman" w:hAnsi="Times New Roman" w:cs="Times New Roman"/>
          <w:sz w:val="28"/>
          <w:szCs w:val="28"/>
        </w:rPr>
        <w:t>are</w:t>
      </w:r>
      <w:r w:rsidR="0029049B" w:rsidRPr="00586CEB">
        <w:rPr>
          <w:rFonts w:ascii="Times New Roman" w:eastAsia="Times New Roman" w:hAnsi="Times New Roman" w:cs="Times New Roman"/>
          <w:sz w:val="28"/>
          <w:szCs w:val="28"/>
        </w:rPr>
        <w:t xml:space="preserve"> less</w:t>
      </w:r>
      <w:r w:rsidR="00480216" w:rsidRPr="00586CEB">
        <w:rPr>
          <w:rFonts w:ascii="Times New Roman" w:eastAsia="Times New Roman" w:hAnsi="Times New Roman" w:cs="Times New Roman"/>
          <w:sz w:val="28"/>
          <w:szCs w:val="28"/>
        </w:rPr>
        <w:t xml:space="preserve"> reliant on social assistance </w:t>
      </w:r>
      <w:r w:rsidR="00C62FA8" w:rsidRPr="00586CEB">
        <w:rPr>
          <w:rFonts w:ascii="Times New Roman" w:eastAsia="Times New Roman" w:hAnsi="Times New Roman" w:cs="Times New Roman"/>
          <w:sz w:val="28"/>
          <w:szCs w:val="28"/>
        </w:rPr>
        <w:t xml:space="preserve">programs </w:t>
      </w:r>
      <w:r w:rsidR="00F55572" w:rsidRPr="00586CEB">
        <w:rPr>
          <w:rFonts w:ascii="Times New Roman" w:eastAsia="Times New Roman" w:hAnsi="Times New Roman" w:cs="Times New Roman"/>
          <w:sz w:val="28"/>
          <w:szCs w:val="28"/>
        </w:rPr>
        <w:t>(RF at 46 citing</w:t>
      </w:r>
      <w:r w:rsidR="00F55572" w:rsidRPr="00586CEB">
        <w:rPr>
          <w:rFonts w:ascii="Times New Roman" w:eastAsia="Times New Roman" w:hAnsi="Times New Roman" w:cs="Times New Roman"/>
          <w:i/>
          <w:iCs/>
          <w:sz w:val="28"/>
          <w:szCs w:val="28"/>
        </w:rPr>
        <w:t xml:space="preserve"> </w:t>
      </w:r>
      <w:r w:rsidR="00F55572" w:rsidRPr="00586CEB">
        <w:rPr>
          <w:rFonts w:ascii="Times New Roman" w:hAnsi="Times New Roman" w:cs="Times New Roman"/>
          <w:i/>
          <w:iCs/>
          <w:color w:val="000000"/>
          <w:sz w:val="28"/>
          <w:szCs w:val="28"/>
        </w:rPr>
        <w:t xml:space="preserve">Boulter </w:t>
      </w:r>
      <w:r w:rsidR="00F55572" w:rsidRPr="00586CEB">
        <w:rPr>
          <w:rFonts w:ascii="Times New Roman" w:hAnsi="Times New Roman" w:cs="Times New Roman"/>
          <w:color w:val="000000"/>
          <w:sz w:val="28"/>
          <w:szCs w:val="28"/>
        </w:rPr>
        <w:t>at para 42)</w:t>
      </w:r>
      <w:r w:rsidR="00480216" w:rsidRPr="00586CEB">
        <w:rPr>
          <w:rFonts w:ascii="Times New Roman" w:eastAsia="Times New Roman" w:hAnsi="Times New Roman" w:cs="Times New Roman"/>
          <w:sz w:val="28"/>
          <w:szCs w:val="28"/>
        </w:rPr>
        <w:t xml:space="preserve">. </w:t>
      </w:r>
      <w:r w:rsidR="00733FCD" w:rsidRPr="00586CEB">
        <w:rPr>
          <w:rFonts w:ascii="Times New Roman" w:eastAsia="Times New Roman" w:hAnsi="Times New Roman" w:cs="Times New Roman"/>
          <w:sz w:val="28"/>
          <w:szCs w:val="28"/>
        </w:rPr>
        <w:t>These new regulations therefore help individuals obtain assistance in the short term as well as use the skills they develop to obtain a job less fraught with risk and that is more sustainable in the long</w:t>
      </w:r>
      <w:r w:rsidR="006E1AFC" w:rsidRPr="00586CEB">
        <w:rPr>
          <w:rFonts w:ascii="Times New Roman" w:eastAsia="Times New Roman" w:hAnsi="Times New Roman" w:cs="Times New Roman"/>
          <w:sz w:val="28"/>
          <w:szCs w:val="28"/>
        </w:rPr>
        <w:t>-</w:t>
      </w:r>
      <w:r w:rsidR="00733FCD" w:rsidRPr="00586CEB">
        <w:rPr>
          <w:rFonts w:ascii="Times New Roman" w:eastAsia="Times New Roman" w:hAnsi="Times New Roman" w:cs="Times New Roman"/>
          <w:sz w:val="28"/>
          <w:szCs w:val="28"/>
        </w:rPr>
        <w:t>term</w:t>
      </w:r>
      <w:r w:rsidR="006E1AFC" w:rsidRPr="00586CEB">
        <w:rPr>
          <w:rFonts w:ascii="Times New Roman" w:eastAsia="Times New Roman" w:hAnsi="Times New Roman" w:cs="Times New Roman"/>
          <w:sz w:val="28"/>
          <w:szCs w:val="28"/>
        </w:rPr>
        <w:t xml:space="preserve"> helping them </w:t>
      </w:r>
      <w:r w:rsidR="00733FCD" w:rsidRPr="00586CEB">
        <w:rPr>
          <w:rFonts w:ascii="Times New Roman" w:eastAsia="Times New Roman" w:hAnsi="Times New Roman" w:cs="Times New Roman"/>
          <w:sz w:val="28"/>
          <w:szCs w:val="28"/>
        </w:rPr>
        <w:t>escape poverty</w:t>
      </w:r>
      <w:r w:rsidR="006E1AFC" w:rsidRPr="00586CEB">
        <w:rPr>
          <w:rFonts w:ascii="Times New Roman" w:eastAsia="Times New Roman" w:hAnsi="Times New Roman" w:cs="Times New Roman"/>
          <w:sz w:val="28"/>
          <w:szCs w:val="28"/>
        </w:rPr>
        <w:t xml:space="preserve"> and change their social condition</w:t>
      </w:r>
      <w:r w:rsidR="00733FCD" w:rsidRPr="00586CEB">
        <w:rPr>
          <w:rFonts w:ascii="Times New Roman" w:eastAsia="Times New Roman" w:hAnsi="Times New Roman" w:cs="Times New Roman"/>
          <w:sz w:val="28"/>
          <w:szCs w:val="28"/>
        </w:rPr>
        <w:t xml:space="preserve">. </w:t>
      </w:r>
      <w:r w:rsidR="00F55572" w:rsidRPr="00586CEB">
        <w:rPr>
          <w:rFonts w:ascii="Times New Roman" w:eastAsia="Times New Roman" w:hAnsi="Times New Roman" w:cs="Times New Roman"/>
          <w:sz w:val="28"/>
          <w:szCs w:val="28"/>
        </w:rPr>
        <w:t>F</w:t>
      </w:r>
      <w:r w:rsidR="00565DFC" w:rsidRPr="00586CEB">
        <w:rPr>
          <w:rFonts w:ascii="Times New Roman" w:eastAsia="Times New Roman" w:hAnsi="Times New Roman" w:cs="Times New Roman"/>
          <w:sz w:val="28"/>
          <w:szCs w:val="28"/>
        </w:rPr>
        <w:t>or these reasons,</w:t>
      </w:r>
      <w:r w:rsidR="00CB5D76" w:rsidRPr="00586CEB">
        <w:rPr>
          <w:rFonts w:ascii="Times New Roman" w:eastAsia="Times New Roman" w:hAnsi="Times New Roman" w:cs="Times New Roman"/>
          <w:sz w:val="28"/>
          <w:szCs w:val="28"/>
        </w:rPr>
        <w:t xml:space="preserve"> </w:t>
      </w:r>
      <w:r w:rsidR="006E1AFC" w:rsidRPr="00586CEB">
        <w:rPr>
          <w:rFonts w:ascii="Times New Roman" w:eastAsia="Times New Roman" w:hAnsi="Times New Roman" w:cs="Times New Roman"/>
          <w:sz w:val="28"/>
          <w:szCs w:val="28"/>
        </w:rPr>
        <w:t>social condition</w:t>
      </w:r>
      <w:r w:rsidR="00CB5D76" w:rsidRPr="00586CEB">
        <w:rPr>
          <w:rFonts w:ascii="Times New Roman" w:eastAsia="Times New Roman" w:hAnsi="Times New Roman" w:cs="Times New Roman"/>
          <w:sz w:val="28"/>
          <w:szCs w:val="28"/>
        </w:rPr>
        <w:t xml:space="preserve"> cannot be recognized</w:t>
      </w:r>
      <w:r w:rsidRPr="00586CEB">
        <w:rPr>
          <w:rFonts w:ascii="Times New Roman" w:eastAsia="Times New Roman" w:hAnsi="Times New Roman" w:cs="Times New Roman"/>
          <w:sz w:val="28"/>
          <w:szCs w:val="28"/>
        </w:rPr>
        <w:t xml:space="preserve"> as an analogous ground</w:t>
      </w:r>
      <w:r w:rsidR="00733FCD" w:rsidRPr="00586CEB">
        <w:rPr>
          <w:rFonts w:ascii="Times New Roman" w:eastAsia="Times New Roman" w:hAnsi="Times New Roman" w:cs="Times New Roman"/>
          <w:sz w:val="28"/>
          <w:szCs w:val="28"/>
        </w:rPr>
        <w:t xml:space="preserve"> on these facts</w:t>
      </w:r>
      <w:r w:rsidRPr="00586CEB">
        <w:rPr>
          <w:rFonts w:ascii="Times New Roman" w:eastAsia="Times New Roman" w:hAnsi="Times New Roman" w:cs="Times New Roman"/>
          <w:sz w:val="28"/>
          <w:szCs w:val="28"/>
        </w:rPr>
        <w:t xml:space="preserve">. </w:t>
      </w:r>
    </w:p>
    <w:p w14:paraId="158E141E" w14:textId="77777777" w:rsidR="00F55572" w:rsidRPr="00586CEB" w:rsidRDefault="00F55572" w:rsidP="00F55572">
      <w:pPr>
        <w:spacing w:line="240" w:lineRule="auto"/>
        <w:jc w:val="both"/>
        <w:rPr>
          <w:rFonts w:ascii="Times New Roman" w:eastAsia="Times New Roman" w:hAnsi="Times New Roman" w:cs="Times New Roman"/>
          <w:sz w:val="28"/>
          <w:szCs w:val="28"/>
        </w:rPr>
      </w:pPr>
    </w:p>
    <w:p w14:paraId="3DA48C22" w14:textId="77777777" w:rsidR="00586CEB" w:rsidRDefault="00586CEB" w:rsidP="00F55572">
      <w:pPr>
        <w:spacing w:line="240" w:lineRule="auto"/>
        <w:jc w:val="both"/>
        <w:rPr>
          <w:rFonts w:ascii="Times New Roman" w:eastAsia="Times New Roman" w:hAnsi="Times New Roman" w:cs="Times New Roman"/>
          <w:color w:val="FF0000"/>
          <w:sz w:val="28"/>
          <w:szCs w:val="28"/>
        </w:rPr>
      </w:pPr>
    </w:p>
    <w:p w14:paraId="6EEBFB93" w14:textId="0CB2AD07" w:rsidR="00F55572" w:rsidRPr="00586CEB" w:rsidRDefault="00F55572" w:rsidP="00F55572">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lastRenderedPageBreak/>
        <w:t xml:space="preserve">Taking a progressive approach to the interpretation of an analogous ground </w:t>
      </w:r>
      <w:r w:rsidRPr="00586CEB">
        <w:rPr>
          <w:rFonts w:ascii="Times New Roman" w:eastAsia="Times New Roman" w:hAnsi="Times New Roman" w:cs="Times New Roman"/>
          <w:color w:val="FF0000"/>
          <w:sz w:val="28"/>
          <w:szCs w:val="28"/>
        </w:rPr>
        <w:sym w:font="Wingdings" w:char="F0E0"/>
      </w:r>
      <w:r w:rsidRPr="00586CEB">
        <w:rPr>
          <w:rFonts w:ascii="Times New Roman" w:eastAsia="Times New Roman" w:hAnsi="Times New Roman" w:cs="Times New Roman"/>
          <w:color w:val="FF0000"/>
          <w:sz w:val="28"/>
          <w:szCs w:val="28"/>
        </w:rPr>
        <w:t xml:space="preserve"> would otherwise </w:t>
      </w:r>
      <w:r w:rsidR="006008A6" w:rsidRPr="00586CEB">
        <w:rPr>
          <w:rFonts w:ascii="Times New Roman" w:eastAsia="Times New Roman" w:hAnsi="Times New Roman" w:cs="Times New Roman"/>
          <w:color w:val="FF0000"/>
          <w:sz w:val="28"/>
          <w:szCs w:val="28"/>
        </w:rPr>
        <w:t xml:space="preserve">be abandoning how we define analogous and enumerated grounds under section 15 </w:t>
      </w:r>
    </w:p>
    <w:p w14:paraId="107D5D78" w14:textId="47714D25" w:rsidR="006008A6" w:rsidRPr="00586CEB" w:rsidRDefault="006008A6" w:rsidP="006008A6">
      <w:pPr>
        <w:pStyle w:val="ListParagraph"/>
        <w:numPr>
          <w:ilvl w:val="0"/>
          <w:numId w:val="4"/>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Could open the floodgates to essentially allowing a far broader array of cases under section 15 to be brought wherever government assistance programs are concerned </w:t>
      </w:r>
    </w:p>
    <w:p w14:paraId="3FD33479" w14:textId="74D487AC" w:rsidR="00CD4575" w:rsidRPr="00586CEB" w:rsidRDefault="006008A6" w:rsidP="00CD4575">
      <w:pPr>
        <w:pStyle w:val="ListParagraph"/>
        <w:numPr>
          <w:ilvl w:val="0"/>
          <w:numId w:val="4"/>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Would not be an incremental change to the law </w:t>
      </w:r>
    </w:p>
    <w:p w14:paraId="13D40E01" w14:textId="4FD7774C" w:rsidR="00CD4575" w:rsidRPr="00586CEB" w:rsidRDefault="00CD4575" w:rsidP="00CD4575">
      <w:pPr>
        <w:pStyle w:val="ListParagraph"/>
        <w:numPr>
          <w:ilvl w:val="0"/>
          <w:numId w:val="4"/>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Poverty per se does not suit the legal definition for an analogous ground under the formulation in Corbiere </w:t>
      </w:r>
      <w:r w:rsidRPr="00586CEB">
        <w:rPr>
          <w:rFonts w:ascii="Times New Roman" w:eastAsia="Times New Roman" w:hAnsi="Times New Roman" w:cs="Times New Roman"/>
          <w:color w:val="FF0000"/>
          <w:sz w:val="28"/>
          <w:szCs w:val="28"/>
        </w:rPr>
        <w:sym w:font="Wingdings" w:char="F0E0"/>
      </w:r>
      <w:r w:rsidRPr="00586CEB">
        <w:rPr>
          <w:rFonts w:ascii="Times New Roman" w:eastAsia="Times New Roman" w:hAnsi="Times New Roman" w:cs="Times New Roman"/>
          <w:color w:val="FF0000"/>
          <w:sz w:val="28"/>
          <w:szCs w:val="28"/>
        </w:rPr>
        <w:t xml:space="preserve"> the appellant has not proposed a new characterization of analogous grounds to replace such jurisprudence </w:t>
      </w:r>
    </w:p>
    <w:p w14:paraId="3CE0BCAE" w14:textId="77777777" w:rsidR="00F55572" w:rsidRPr="00586CEB" w:rsidRDefault="00F55572" w:rsidP="00F55572">
      <w:pPr>
        <w:spacing w:line="240" w:lineRule="auto"/>
        <w:jc w:val="both"/>
        <w:rPr>
          <w:rFonts w:ascii="Times New Roman" w:eastAsia="Times New Roman" w:hAnsi="Times New Roman" w:cs="Times New Roman"/>
          <w:color w:val="FF0000"/>
          <w:sz w:val="28"/>
          <w:szCs w:val="28"/>
        </w:rPr>
      </w:pPr>
    </w:p>
    <w:p w14:paraId="0E928835" w14:textId="6E1F2BD0" w:rsidR="00F55572" w:rsidRPr="00586CEB" w:rsidRDefault="00F55572" w:rsidP="00F55572">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Social assistance and age </w:t>
      </w:r>
    </w:p>
    <w:p w14:paraId="07D3AF50" w14:textId="6321F185" w:rsidR="00F55572" w:rsidRPr="00586CEB" w:rsidRDefault="00F55572" w:rsidP="00F55572">
      <w:pPr>
        <w:pStyle w:val="ListParagraph"/>
        <w:numPr>
          <w:ilvl w:val="0"/>
          <w:numId w:val="3"/>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Falkiner – </w:t>
      </w:r>
      <w:r w:rsidR="00FF0991" w:rsidRPr="00586CEB">
        <w:rPr>
          <w:rFonts w:ascii="Times New Roman" w:eastAsia="Times New Roman" w:hAnsi="Times New Roman" w:cs="Times New Roman"/>
          <w:color w:val="FF0000"/>
          <w:sz w:val="28"/>
          <w:szCs w:val="28"/>
        </w:rPr>
        <w:t xml:space="preserve">cannot be separated from the multi-faceted set of characteristics of the affected persons in that case (Toussaint 81) </w:t>
      </w:r>
      <w:r w:rsidR="00FF0991" w:rsidRPr="00586CEB">
        <w:rPr>
          <w:rFonts w:ascii="Times New Roman" w:eastAsia="Times New Roman" w:hAnsi="Times New Roman" w:cs="Times New Roman"/>
          <w:color w:val="FF0000"/>
          <w:sz w:val="28"/>
          <w:szCs w:val="28"/>
        </w:rPr>
        <w:sym w:font="Wingdings" w:char="F0E0"/>
      </w:r>
      <w:r w:rsidR="00FF0991" w:rsidRPr="00586CEB">
        <w:rPr>
          <w:rFonts w:ascii="Times New Roman" w:eastAsia="Times New Roman" w:hAnsi="Times New Roman" w:cs="Times New Roman"/>
          <w:color w:val="FF0000"/>
          <w:sz w:val="28"/>
          <w:szCs w:val="28"/>
        </w:rPr>
        <w:t xml:space="preserve"> the impugned law imposed differential treatment on the respondents on the combined grounds of sex, marital status and receipt of social assistance and that differential treatment discriminated against them, contrary to s. 15 of the Charter</w:t>
      </w:r>
    </w:p>
    <w:p w14:paraId="2F2339C3" w14:textId="255A636F" w:rsidR="005E5DFD" w:rsidRPr="00586CEB" w:rsidRDefault="005E5DFD" w:rsidP="005E5DFD">
      <w:pPr>
        <w:pStyle w:val="ListParagraph"/>
        <w:numPr>
          <w:ilvl w:val="1"/>
          <w:numId w:val="3"/>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Facts – Under the social assistance regime at the time, when an individual became a “spouse”, they lost their eligibility to receive family benefits as a “sole support parent” </w:t>
      </w:r>
      <w:r w:rsidRPr="00586CEB">
        <w:rPr>
          <w:rFonts w:ascii="Times New Roman" w:eastAsia="Times New Roman" w:hAnsi="Times New Roman" w:cs="Times New Roman"/>
          <w:color w:val="FF0000"/>
          <w:sz w:val="28"/>
          <w:szCs w:val="28"/>
        </w:rPr>
        <w:sym w:font="Wingdings" w:char="F0E0"/>
      </w:r>
      <w:r w:rsidRPr="00586CEB">
        <w:rPr>
          <w:rFonts w:ascii="Times New Roman" w:eastAsia="Times New Roman" w:hAnsi="Times New Roman" w:cs="Times New Roman"/>
          <w:color w:val="FF0000"/>
          <w:sz w:val="28"/>
          <w:szCs w:val="28"/>
        </w:rPr>
        <w:t xml:space="preserve"> a person became a “spouse” if they had lived with another person for at least three years but under the amendments they were presumed to be spouses once a person moved in with another individual of the opposite sex </w:t>
      </w:r>
    </w:p>
    <w:p w14:paraId="1C271492" w14:textId="32B1AC16" w:rsidR="00F55572" w:rsidRPr="00586CEB" w:rsidRDefault="00723460" w:rsidP="00F55572">
      <w:pPr>
        <w:pStyle w:val="ListParagraph"/>
        <w:numPr>
          <w:ilvl w:val="0"/>
          <w:numId w:val="3"/>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Receipt of social assistance on its own was not recognized as an analogous ground in Banks (104-105)</w:t>
      </w:r>
    </w:p>
    <w:p w14:paraId="68D4E623" w14:textId="77777777" w:rsidR="00463C91" w:rsidRPr="00586CEB" w:rsidRDefault="00463C91" w:rsidP="00463C91">
      <w:pPr>
        <w:pStyle w:val="ListParagraph"/>
        <w:numPr>
          <w:ilvl w:val="0"/>
          <w:numId w:val="3"/>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All sole support parents are subject to stigmatization, stereotyping and a history of offensive restrictions on their personal lives, and these disadvantages are particularly felt by sole support mothers.</w:t>
      </w:r>
    </w:p>
    <w:p w14:paraId="768AAD67" w14:textId="6E15AD7B" w:rsidR="00463C91" w:rsidRPr="00586CEB" w:rsidRDefault="00463C91" w:rsidP="00463C91">
      <w:pPr>
        <w:pStyle w:val="ListParagraph"/>
        <w:numPr>
          <w:ilvl w:val="0"/>
          <w:numId w:val="3"/>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Sole support parents on social assistance are politically powerles</w:t>
      </w:r>
      <w:r w:rsidR="0092192C" w:rsidRPr="00586CEB">
        <w:rPr>
          <w:rFonts w:ascii="Times New Roman" w:eastAsia="Times New Roman" w:hAnsi="Times New Roman" w:cs="Times New Roman"/>
          <w:color w:val="FF0000"/>
          <w:sz w:val="28"/>
          <w:szCs w:val="28"/>
        </w:rPr>
        <w:t>s</w:t>
      </w:r>
    </w:p>
    <w:p w14:paraId="00000014" w14:textId="77777777" w:rsidR="00934474" w:rsidRPr="00586CEB" w:rsidRDefault="00934474">
      <w:pPr>
        <w:spacing w:line="240" w:lineRule="auto"/>
        <w:jc w:val="both"/>
        <w:rPr>
          <w:rFonts w:ascii="Times New Roman" w:eastAsia="Times New Roman" w:hAnsi="Times New Roman" w:cs="Times New Roman"/>
          <w:sz w:val="28"/>
          <w:szCs w:val="28"/>
        </w:rPr>
      </w:pPr>
    </w:p>
    <w:p w14:paraId="510B141A"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27DE3A9E"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02ECE1CD"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76E4BB9D"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2175039D"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40A2163B"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7E2FFD0E"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70988FDF" w14:textId="77777777" w:rsidR="00586CEB" w:rsidRPr="00586CEB" w:rsidRDefault="00586CEB" w:rsidP="00ED54D5">
      <w:pPr>
        <w:spacing w:line="240" w:lineRule="auto"/>
        <w:jc w:val="both"/>
        <w:rPr>
          <w:rFonts w:ascii="Times New Roman" w:eastAsia="Times New Roman" w:hAnsi="Times New Roman" w:cs="Times New Roman"/>
          <w:sz w:val="28"/>
          <w:szCs w:val="28"/>
        </w:rPr>
      </w:pPr>
    </w:p>
    <w:p w14:paraId="6D753D9A" w14:textId="77777777" w:rsidR="00586CEB" w:rsidRDefault="00586CEB" w:rsidP="00ED54D5">
      <w:pPr>
        <w:spacing w:line="240" w:lineRule="auto"/>
        <w:jc w:val="both"/>
        <w:rPr>
          <w:rFonts w:ascii="Times New Roman" w:eastAsia="Times New Roman" w:hAnsi="Times New Roman" w:cs="Times New Roman"/>
          <w:sz w:val="28"/>
          <w:szCs w:val="28"/>
        </w:rPr>
      </w:pPr>
    </w:p>
    <w:p w14:paraId="61A3110C" w14:textId="6CA0BCBB" w:rsidR="00ED54D5" w:rsidRPr="00586CEB" w:rsidRDefault="009E2E73" w:rsidP="00ED54D5">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 xml:space="preserve">I will now be moving onto the Respondent’s second argument </w:t>
      </w:r>
      <w:r w:rsidR="00754835" w:rsidRPr="00586CEB">
        <w:rPr>
          <w:rFonts w:ascii="Times New Roman" w:eastAsia="Times New Roman" w:hAnsi="Times New Roman" w:cs="Times New Roman"/>
          <w:sz w:val="28"/>
          <w:szCs w:val="28"/>
        </w:rPr>
        <w:t xml:space="preserve">in support of this first </w:t>
      </w:r>
      <w:r w:rsidR="0090633D" w:rsidRPr="00586CEB">
        <w:rPr>
          <w:rFonts w:ascii="Times New Roman" w:eastAsia="Times New Roman" w:hAnsi="Times New Roman" w:cs="Times New Roman"/>
          <w:sz w:val="28"/>
          <w:szCs w:val="28"/>
        </w:rPr>
        <w:t>submission</w:t>
      </w:r>
      <w:r w:rsidR="00754835" w:rsidRPr="00586CEB">
        <w:rPr>
          <w:rFonts w:ascii="Times New Roman" w:eastAsia="Times New Roman" w:hAnsi="Times New Roman" w:cs="Times New Roman"/>
          <w:sz w:val="28"/>
          <w:szCs w:val="28"/>
        </w:rPr>
        <w:t xml:space="preserve"> </w:t>
      </w:r>
      <w:r w:rsidRPr="00586CEB">
        <w:rPr>
          <w:rFonts w:ascii="Times New Roman" w:eastAsia="Times New Roman" w:hAnsi="Times New Roman" w:cs="Times New Roman"/>
          <w:sz w:val="28"/>
          <w:szCs w:val="28"/>
        </w:rPr>
        <w:t xml:space="preserve">at paragraph 48 of the Respondent’s factum. </w:t>
      </w:r>
      <w:r w:rsidR="00754835" w:rsidRPr="00586CEB">
        <w:rPr>
          <w:rFonts w:ascii="Times New Roman" w:eastAsia="Times New Roman" w:hAnsi="Times New Roman" w:cs="Times New Roman"/>
          <w:sz w:val="28"/>
          <w:szCs w:val="28"/>
        </w:rPr>
        <w:t xml:space="preserve">The </w:t>
      </w:r>
      <w:r w:rsidRPr="00586CEB">
        <w:rPr>
          <w:rFonts w:ascii="Times New Roman" w:eastAsia="Times New Roman" w:hAnsi="Times New Roman" w:cs="Times New Roman"/>
          <w:sz w:val="28"/>
          <w:szCs w:val="28"/>
        </w:rPr>
        <w:t>distinction</w:t>
      </w:r>
      <w:r w:rsidR="00754835" w:rsidRPr="00586CEB">
        <w:rPr>
          <w:rFonts w:ascii="Times New Roman" w:eastAsia="Times New Roman" w:hAnsi="Times New Roman" w:cs="Times New Roman"/>
          <w:sz w:val="28"/>
          <w:szCs w:val="28"/>
        </w:rPr>
        <w:t xml:space="preserve"> drawn by the regulations</w:t>
      </w:r>
      <w:r w:rsidRPr="00586CEB">
        <w:rPr>
          <w:rFonts w:ascii="Times New Roman" w:eastAsia="Times New Roman" w:hAnsi="Times New Roman" w:cs="Times New Roman"/>
          <w:sz w:val="28"/>
          <w:szCs w:val="28"/>
        </w:rPr>
        <w:t xml:space="preserve"> </w:t>
      </w:r>
      <w:r w:rsidR="00754835" w:rsidRPr="00586CEB">
        <w:rPr>
          <w:rFonts w:ascii="Times New Roman" w:eastAsia="Times New Roman" w:hAnsi="Times New Roman" w:cs="Times New Roman"/>
          <w:sz w:val="28"/>
          <w:szCs w:val="28"/>
        </w:rPr>
        <w:t>based on</w:t>
      </w:r>
      <w:r w:rsidRPr="00586CEB">
        <w:rPr>
          <w:rFonts w:ascii="Times New Roman" w:eastAsia="Times New Roman" w:hAnsi="Times New Roman" w:cs="Times New Roman"/>
          <w:sz w:val="28"/>
          <w:szCs w:val="28"/>
        </w:rPr>
        <w:t xml:space="preserve"> age, is not discriminatory</w:t>
      </w:r>
      <w:r w:rsidR="00F06D5B" w:rsidRPr="00586CEB">
        <w:rPr>
          <w:rFonts w:ascii="Times New Roman" w:eastAsia="Times New Roman" w:hAnsi="Times New Roman" w:cs="Times New Roman"/>
          <w:sz w:val="28"/>
          <w:szCs w:val="28"/>
        </w:rPr>
        <w:t xml:space="preserve"> as </w:t>
      </w:r>
      <w:r w:rsidRPr="00586CEB">
        <w:rPr>
          <w:rFonts w:ascii="Times New Roman" w:eastAsia="Times New Roman" w:hAnsi="Times New Roman" w:cs="Times New Roman"/>
          <w:sz w:val="28"/>
          <w:szCs w:val="28"/>
        </w:rPr>
        <w:t>the regulations do not reinforce, perpetuate, or exacerbate disadvantage for northern Ontario residents under 30</w:t>
      </w:r>
      <w:r w:rsidR="00E77000" w:rsidRPr="00586CEB">
        <w:rPr>
          <w:rFonts w:ascii="Times New Roman" w:eastAsia="Times New Roman" w:hAnsi="Times New Roman" w:cs="Times New Roman"/>
          <w:sz w:val="28"/>
          <w:szCs w:val="28"/>
        </w:rPr>
        <w:t xml:space="preserve"> (</w:t>
      </w:r>
      <w:r w:rsidR="00E77000" w:rsidRPr="00586CEB">
        <w:rPr>
          <w:rFonts w:ascii="Times New Roman" w:eastAsia="Times New Roman" w:hAnsi="Times New Roman" w:cs="Times New Roman"/>
          <w:i/>
          <w:iCs/>
          <w:color w:val="000000"/>
          <w:sz w:val="28"/>
          <w:szCs w:val="28"/>
          <w:lang w:val="en-CA"/>
        </w:rPr>
        <w:t>Alliance</w:t>
      </w:r>
      <w:r w:rsidR="00E77000" w:rsidRPr="00586CEB">
        <w:rPr>
          <w:rFonts w:ascii="Times New Roman" w:eastAsia="Times New Roman" w:hAnsi="Times New Roman" w:cs="Times New Roman"/>
          <w:color w:val="000000"/>
          <w:sz w:val="28"/>
          <w:szCs w:val="28"/>
          <w:lang w:val="en-CA"/>
        </w:rPr>
        <w:t>, para 25)</w:t>
      </w:r>
      <w:r w:rsidRPr="00586CEB">
        <w:rPr>
          <w:rFonts w:ascii="Times New Roman" w:eastAsia="Times New Roman" w:hAnsi="Times New Roman" w:cs="Times New Roman"/>
          <w:sz w:val="28"/>
          <w:szCs w:val="28"/>
        </w:rPr>
        <w:t xml:space="preserve">. </w:t>
      </w:r>
      <w:r w:rsidR="00565DFC" w:rsidRPr="00586CEB">
        <w:rPr>
          <w:rFonts w:ascii="Times New Roman" w:eastAsia="Times New Roman" w:hAnsi="Times New Roman" w:cs="Times New Roman"/>
          <w:sz w:val="28"/>
          <w:szCs w:val="28"/>
        </w:rPr>
        <w:t>W</w:t>
      </w:r>
      <w:r w:rsidR="00E77000" w:rsidRPr="00586CEB">
        <w:rPr>
          <w:rFonts w:ascii="Times New Roman" w:eastAsia="Times New Roman" w:hAnsi="Times New Roman" w:cs="Times New Roman"/>
          <w:sz w:val="28"/>
          <w:szCs w:val="28"/>
        </w:rPr>
        <w:t>hether the law</w:t>
      </w:r>
      <w:r w:rsidR="00565DFC" w:rsidRPr="00586CEB">
        <w:rPr>
          <w:rFonts w:ascii="Times New Roman" w:eastAsia="Times New Roman" w:hAnsi="Times New Roman" w:cs="Times New Roman"/>
          <w:sz w:val="28"/>
          <w:szCs w:val="28"/>
        </w:rPr>
        <w:t xml:space="preserve"> can be characterized as discriminatory will depend on if it</w:t>
      </w:r>
      <w:r w:rsidR="00E77000" w:rsidRPr="00586CEB">
        <w:rPr>
          <w:rFonts w:ascii="Times New Roman" w:eastAsia="Times New Roman" w:hAnsi="Times New Roman" w:cs="Times New Roman"/>
          <w:sz w:val="28"/>
          <w:szCs w:val="28"/>
        </w:rPr>
        <w:t xml:space="preserve"> promotes stereotypes o</w:t>
      </w:r>
      <w:r w:rsidR="00565DFC" w:rsidRPr="00586CEB">
        <w:rPr>
          <w:rFonts w:ascii="Times New Roman" w:eastAsia="Times New Roman" w:hAnsi="Times New Roman" w:cs="Times New Roman"/>
          <w:sz w:val="28"/>
          <w:szCs w:val="28"/>
        </w:rPr>
        <w:t>r</w:t>
      </w:r>
      <w:r w:rsidR="00E77000" w:rsidRPr="00586CEB">
        <w:rPr>
          <w:rFonts w:ascii="Times New Roman" w:eastAsia="Times New Roman" w:hAnsi="Times New Roman" w:cs="Times New Roman"/>
          <w:sz w:val="28"/>
          <w:szCs w:val="28"/>
        </w:rPr>
        <w:t xml:space="preserve"> prejudicial notions about a</w:t>
      </w:r>
      <w:r w:rsidR="00E77000" w:rsidRPr="00586CEB">
        <w:rPr>
          <w:rFonts w:ascii="Times New Roman" w:hAnsi="Times New Roman" w:cs="Times New Roman"/>
          <w:color w:val="000000"/>
          <w:sz w:val="28"/>
          <w:szCs w:val="28"/>
        </w:rPr>
        <w:t xml:space="preserve"> protected group or</w:t>
      </w:r>
      <w:r w:rsidR="00565DFC" w:rsidRPr="00586CEB">
        <w:rPr>
          <w:rFonts w:ascii="Times New Roman" w:hAnsi="Times New Roman" w:cs="Times New Roman"/>
          <w:color w:val="000000"/>
          <w:sz w:val="28"/>
          <w:szCs w:val="28"/>
        </w:rPr>
        <w:t xml:space="preserve"> if it</w:t>
      </w:r>
      <w:r w:rsidR="00E77000" w:rsidRPr="00586CEB">
        <w:rPr>
          <w:rFonts w:ascii="Times New Roman" w:hAnsi="Times New Roman" w:cs="Times New Roman"/>
          <w:color w:val="000000"/>
          <w:sz w:val="28"/>
          <w:szCs w:val="28"/>
        </w:rPr>
        <w:t xml:space="preserve"> </w:t>
      </w:r>
      <w:r w:rsidR="00565DFC" w:rsidRPr="00586CEB">
        <w:rPr>
          <w:rFonts w:ascii="Times New Roman" w:hAnsi="Times New Roman" w:cs="Times New Roman"/>
          <w:color w:val="000000"/>
          <w:sz w:val="28"/>
          <w:szCs w:val="28"/>
        </w:rPr>
        <w:t>draws</w:t>
      </w:r>
      <w:r w:rsidR="00E77000" w:rsidRPr="00586CEB">
        <w:rPr>
          <w:rFonts w:ascii="Times New Roman" w:hAnsi="Times New Roman" w:cs="Times New Roman"/>
          <w:color w:val="000000"/>
          <w:sz w:val="28"/>
          <w:szCs w:val="28"/>
        </w:rPr>
        <w:t xml:space="preserve"> arbitrary</w:t>
      </w:r>
      <w:r w:rsidR="00153B46" w:rsidRPr="00586CEB">
        <w:rPr>
          <w:rFonts w:ascii="Times New Roman" w:hAnsi="Times New Roman" w:cs="Times New Roman"/>
          <w:color w:val="000000"/>
          <w:sz w:val="28"/>
          <w:szCs w:val="28"/>
        </w:rPr>
        <w:t xml:space="preserve"> distinctions</w:t>
      </w:r>
      <w:r w:rsidR="00E77000" w:rsidRPr="00586CEB">
        <w:rPr>
          <w:rFonts w:ascii="Times New Roman" w:hAnsi="Times New Roman" w:cs="Times New Roman"/>
          <w:color w:val="000000"/>
          <w:sz w:val="28"/>
          <w:szCs w:val="28"/>
        </w:rPr>
        <w:t xml:space="preserve">. </w:t>
      </w:r>
      <w:r w:rsidRPr="00586CEB">
        <w:rPr>
          <w:rFonts w:ascii="Times New Roman" w:eastAsia="Times New Roman" w:hAnsi="Times New Roman" w:cs="Times New Roman"/>
          <w:sz w:val="28"/>
          <w:szCs w:val="28"/>
        </w:rPr>
        <w:t xml:space="preserve">Although Northern Ontario youth are more likely to experience poverty, the New Regulations do not perpetuate any stereotypes or prejudice regarding this notion. By contrast, the </w:t>
      </w:r>
      <w:r w:rsidRPr="00586CEB">
        <w:rPr>
          <w:rFonts w:ascii="Times New Roman" w:eastAsia="Times New Roman" w:hAnsi="Times New Roman" w:cs="Times New Roman"/>
          <w:i/>
          <w:sz w:val="28"/>
          <w:szCs w:val="28"/>
        </w:rPr>
        <w:t>new regulations</w:t>
      </w:r>
      <w:r w:rsidRPr="00586CEB">
        <w:rPr>
          <w:rFonts w:ascii="Times New Roman" w:eastAsia="Times New Roman" w:hAnsi="Times New Roman" w:cs="Times New Roman"/>
          <w:sz w:val="28"/>
          <w:szCs w:val="28"/>
        </w:rPr>
        <w:t xml:space="preserve"> empower young residents to participate in training programs to promote self-sufficiency and assist them in acquiring well-paying jobs</w:t>
      </w:r>
      <w:r w:rsidR="00ED54D5" w:rsidRPr="00586CEB">
        <w:rPr>
          <w:rFonts w:ascii="Times New Roman" w:eastAsia="Times New Roman" w:hAnsi="Times New Roman" w:cs="Times New Roman"/>
          <w:sz w:val="28"/>
          <w:szCs w:val="28"/>
        </w:rPr>
        <w:t xml:space="preserve"> (</w:t>
      </w:r>
      <w:r w:rsidR="00861E68" w:rsidRPr="00586CEB">
        <w:rPr>
          <w:rFonts w:ascii="Times New Roman" w:eastAsia="Times New Roman" w:hAnsi="Times New Roman" w:cs="Times New Roman"/>
          <w:sz w:val="28"/>
          <w:szCs w:val="28"/>
        </w:rPr>
        <w:t xml:space="preserve">RF at </w:t>
      </w:r>
      <w:r w:rsidR="00ED54D5" w:rsidRPr="00586CEB">
        <w:rPr>
          <w:rFonts w:ascii="Times New Roman" w:eastAsia="Times New Roman" w:hAnsi="Times New Roman" w:cs="Times New Roman"/>
          <w:sz w:val="28"/>
          <w:szCs w:val="28"/>
        </w:rPr>
        <w:t>51)</w:t>
      </w:r>
      <w:r w:rsidRPr="00586CEB">
        <w:rPr>
          <w:rFonts w:ascii="Times New Roman" w:eastAsia="Times New Roman" w:hAnsi="Times New Roman" w:cs="Times New Roman"/>
          <w:sz w:val="28"/>
          <w:szCs w:val="28"/>
        </w:rPr>
        <w:t>.</w:t>
      </w:r>
      <w:r w:rsidR="004471B6" w:rsidRPr="00586CEB">
        <w:rPr>
          <w:rFonts w:ascii="Times New Roman" w:eastAsia="Times New Roman" w:hAnsi="Times New Roman" w:cs="Times New Roman"/>
          <w:sz w:val="28"/>
          <w:szCs w:val="28"/>
        </w:rPr>
        <w:t xml:space="preserve"> </w:t>
      </w:r>
    </w:p>
    <w:p w14:paraId="65FD4FE1" w14:textId="77777777" w:rsidR="000B100B" w:rsidRPr="00586CEB" w:rsidRDefault="000B100B" w:rsidP="00ED54D5">
      <w:pPr>
        <w:spacing w:line="240" w:lineRule="auto"/>
        <w:jc w:val="both"/>
        <w:rPr>
          <w:rFonts w:ascii="Times New Roman" w:eastAsia="Times New Roman" w:hAnsi="Times New Roman" w:cs="Times New Roman"/>
          <w:sz w:val="28"/>
          <w:szCs w:val="28"/>
        </w:rPr>
      </w:pPr>
    </w:p>
    <w:p w14:paraId="490ED026"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2FE30186"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4A3E7529"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742B6C9B"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2EBF6819"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03482A5E"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1D38C5C7"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1ED52A66"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0BE201BB"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729ECB0A"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421194F1"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0824CB8B"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76F84FEC"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573B28F3"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527E993A"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09D108B0"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463EB6A3"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3B435857"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3182C7EF"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199558D9"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32CACFF5"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639FA296"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265014EA"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3434F7B3"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3C4D0A1D"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2E546526"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3AA05FE4"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441745D9" w14:textId="77777777" w:rsidR="002A75E2" w:rsidRDefault="002A75E2" w:rsidP="00ED54D5">
      <w:pPr>
        <w:spacing w:line="240" w:lineRule="auto"/>
        <w:jc w:val="both"/>
        <w:rPr>
          <w:rFonts w:ascii="Times New Roman" w:eastAsia="Times New Roman" w:hAnsi="Times New Roman" w:cs="Times New Roman"/>
          <w:color w:val="FF0000"/>
          <w:sz w:val="28"/>
          <w:szCs w:val="28"/>
        </w:rPr>
      </w:pPr>
    </w:p>
    <w:p w14:paraId="0334688C" w14:textId="358B826C" w:rsidR="007D5503" w:rsidRPr="00586CEB" w:rsidRDefault="007D5503" w:rsidP="00ED54D5">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lastRenderedPageBreak/>
        <w:t xml:space="preserve">Comparison with Gosselin </w:t>
      </w:r>
    </w:p>
    <w:p w14:paraId="709DE756" w14:textId="271707A4" w:rsidR="000B100B" w:rsidRPr="00586CEB" w:rsidRDefault="007D5503" w:rsidP="00800414">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hAnsi="Times New Roman" w:cs="Times New Roman"/>
          <w:color w:val="FF0000"/>
          <w:sz w:val="28"/>
          <w:szCs w:val="28"/>
        </w:rPr>
        <w:t>Just because that where there is an age-based distinction does not automatically evoke a context of pre-existing disadvantage suggesting discrimination and marginalization under this first contextual factor</w:t>
      </w:r>
    </w:p>
    <w:p w14:paraId="04A97A62" w14:textId="221CA569" w:rsidR="00AA3600" w:rsidRDefault="00AA3600" w:rsidP="00AA3600">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the opposite conclusion seems more plausible, particularly as the programs participation component of the social assistance scheme was premised on a view of the greater long-term employability of under-30s, as compared to their older counterparts</w:t>
      </w:r>
    </w:p>
    <w:p w14:paraId="3818F03A" w14:textId="77777777" w:rsidR="00586CEB" w:rsidRDefault="00586CEB" w:rsidP="00586CEB">
      <w:pPr>
        <w:spacing w:line="240" w:lineRule="auto"/>
        <w:jc w:val="both"/>
        <w:rPr>
          <w:rFonts w:ascii="Times New Roman" w:eastAsia="Times New Roman" w:hAnsi="Times New Roman" w:cs="Times New Roman"/>
          <w:color w:val="FF0000"/>
          <w:sz w:val="28"/>
          <w:szCs w:val="28"/>
        </w:rPr>
      </w:pPr>
    </w:p>
    <w:p w14:paraId="5689E847" w14:textId="36277B29" w:rsidR="00586CEB" w:rsidRPr="00586CEB" w:rsidRDefault="00586CEB" w:rsidP="00586CEB">
      <w:pPr>
        <w:spacing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Differences with Fraser </w:t>
      </w:r>
    </w:p>
    <w:p w14:paraId="02AD4DE2" w14:textId="594B85AA" w:rsidR="00730D8E" w:rsidRPr="00586CEB" w:rsidRDefault="00F06D5B" w:rsidP="00ED54D5">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In </w:t>
      </w:r>
      <w:r w:rsidRPr="00586CEB">
        <w:rPr>
          <w:rFonts w:ascii="Times New Roman" w:eastAsia="Times New Roman" w:hAnsi="Times New Roman" w:cs="Times New Roman"/>
          <w:i/>
          <w:iCs/>
          <w:color w:val="FF0000"/>
          <w:sz w:val="28"/>
          <w:szCs w:val="28"/>
        </w:rPr>
        <w:t>Fraser</w:t>
      </w:r>
      <w:r w:rsidRPr="00586CEB">
        <w:rPr>
          <w:rFonts w:ascii="Times New Roman" w:eastAsia="Times New Roman" w:hAnsi="Times New Roman" w:cs="Times New Roman"/>
          <w:color w:val="FF0000"/>
          <w:sz w:val="28"/>
          <w:szCs w:val="28"/>
        </w:rPr>
        <w:t xml:space="preserve">, the Supreme Court found that the government action perpetuated a long-standing history of economic disadvantage for women since the pension benefits had historically been designed for male employees earning middle to upper-level incomes. </w:t>
      </w:r>
    </w:p>
    <w:p w14:paraId="6E6C2E13" w14:textId="382B4DF8" w:rsidR="00F06D5B" w:rsidRPr="00586CEB" w:rsidRDefault="00F06D5B" w:rsidP="00565DFC">
      <w:pPr>
        <w:pStyle w:val="ListParagraph"/>
        <w:numPr>
          <w:ilvl w:val="1"/>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Although in the short term</w:t>
      </w:r>
      <w:r w:rsidR="00730D8E" w:rsidRPr="00586CEB">
        <w:rPr>
          <w:rFonts w:ascii="Times New Roman" w:eastAsia="Times New Roman" w:hAnsi="Times New Roman" w:cs="Times New Roman"/>
          <w:color w:val="FF0000"/>
          <w:sz w:val="28"/>
          <w:szCs w:val="28"/>
        </w:rPr>
        <w:t xml:space="preserve"> the new regulations</w:t>
      </w:r>
      <w:r w:rsidRPr="00586CEB">
        <w:rPr>
          <w:rFonts w:ascii="Times New Roman" w:eastAsia="Times New Roman" w:hAnsi="Times New Roman" w:cs="Times New Roman"/>
          <w:color w:val="FF0000"/>
          <w:sz w:val="28"/>
          <w:szCs w:val="28"/>
        </w:rPr>
        <w:t xml:space="preserve"> impose additional criteri</w:t>
      </w:r>
      <w:r w:rsidR="00730D8E" w:rsidRPr="00586CEB">
        <w:rPr>
          <w:rFonts w:ascii="Times New Roman" w:eastAsia="Times New Roman" w:hAnsi="Times New Roman" w:cs="Times New Roman"/>
          <w:color w:val="FF0000"/>
          <w:sz w:val="28"/>
          <w:szCs w:val="28"/>
        </w:rPr>
        <w:t>a</w:t>
      </w:r>
      <w:r w:rsidRPr="00586CEB">
        <w:rPr>
          <w:rFonts w:ascii="Times New Roman" w:eastAsia="Times New Roman" w:hAnsi="Times New Roman" w:cs="Times New Roman"/>
          <w:color w:val="FF0000"/>
          <w:sz w:val="28"/>
          <w:szCs w:val="28"/>
        </w:rPr>
        <w:t xml:space="preserve"> for BIB qualification, they are distinguished from the state action in </w:t>
      </w:r>
      <w:r w:rsidRPr="00586CEB">
        <w:rPr>
          <w:rFonts w:ascii="Times New Roman" w:eastAsia="Times New Roman" w:hAnsi="Times New Roman" w:cs="Times New Roman"/>
          <w:i/>
          <w:iCs/>
          <w:color w:val="FF0000"/>
          <w:sz w:val="28"/>
          <w:szCs w:val="28"/>
        </w:rPr>
        <w:t>Fraser</w:t>
      </w:r>
      <w:r w:rsidRPr="00586CEB">
        <w:rPr>
          <w:rFonts w:ascii="Times New Roman" w:eastAsia="Times New Roman" w:hAnsi="Times New Roman" w:cs="Times New Roman"/>
          <w:color w:val="FF0000"/>
          <w:sz w:val="28"/>
          <w:szCs w:val="28"/>
        </w:rPr>
        <w:t xml:space="preserve"> because, in the long term, the New Regulations do not perpetuate economic disadvantage for young adults</w:t>
      </w:r>
    </w:p>
    <w:p w14:paraId="00000016" w14:textId="77777777" w:rsidR="00934474" w:rsidRPr="00586CEB" w:rsidRDefault="00934474">
      <w:pPr>
        <w:spacing w:line="240" w:lineRule="auto"/>
        <w:jc w:val="both"/>
        <w:rPr>
          <w:rFonts w:ascii="Times New Roman" w:eastAsia="Times New Roman" w:hAnsi="Times New Roman" w:cs="Times New Roman"/>
          <w:sz w:val="28"/>
          <w:szCs w:val="28"/>
        </w:rPr>
      </w:pPr>
    </w:p>
    <w:p w14:paraId="2AB0A2AE" w14:textId="77777777" w:rsidR="00586CEB" w:rsidRPr="00586CEB" w:rsidRDefault="00586CEB">
      <w:pPr>
        <w:spacing w:line="240" w:lineRule="auto"/>
        <w:jc w:val="both"/>
        <w:rPr>
          <w:rFonts w:ascii="Times New Roman" w:eastAsia="Times New Roman" w:hAnsi="Times New Roman" w:cs="Times New Roman"/>
          <w:sz w:val="28"/>
          <w:szCs w:val="28"/>
        </w:rPr>
      </w:pPr>
    </w:p>
    <w:p w14:paraId="0998D02D" w14:textId="77777777" w:rsidR="00586CEB" w:rsidRPr="00586CEB" w:rsidRDefault="00586CEB">
      <w:pPr>
        <w:spacing w:line="240" w:lineRule="auto"/>
        <w:jc w:val="both"/>
        <w:rPr>
          <w:rFonts w:ascii="Times New Roman" w:eastAsia="Times New Roman" w:hAnsi="Times New Roman" w:cs="Times New Roman"/>
          <w:sz w:val="28"/>
          <w:szCs w:val="28"/>
        </w:rPr>
      </w:pPr>
    </w:p>
    <w:p w14:paraId="5C7165A3" w14:textId="77777777" w:rsidR="00586CEB" w:rsidRPr="00586CEB" w:rsidRDefault="00586CEB">
      <w:pPr>
        <w:spacing w:line="240" w:lineRule="auto"/>
        <w:jc w:val="both"/>
        <w:rPr>
          <w:rFonts w:ascii="Times New Roman" w:eastAsia="Times New Roman" w:hAnsi="Times New Roman" w:cs="Times New Roman"/>
          <w:sz w:val="28"/>
          <w:szCs w:val="28"/>
        </w:rPr>
      </w:pPr>
    </w:p>
    <w:p w14:paraId="28CB369A" w14:textId="77777777" w:rsidR="00586CEB" w:rsidRPr="00586CEB" w:rsidRDefault="00586CEB">
      <w:pPr>
        <w:spacing w:line="240" w:lineRule="auto"/>
        <w:jc w:val="both"/>
        <w:rPr>
          <w:rFonts w:ascii="Times New Roman" w:eastAsia="Times New Roman" w:hAnsi="Times New Roman" w:cs="Times New Roman"/>
          <w:sz w:val="28"/>
          <w:szCs w:val="28"/>
        </w:rPr>
      </w:pPr>
    </w:p>
    <w:p w14:paraId="243076F0" w14:textId="77777777" w:rsidR="00586CEB" w:rsidRPr="00586CEB" w:rsidRDefault="00586CEB">
      <w:pPr>
        <w:spacing w:line="240" w:lineRule="auto"/>
        <w:jc w:val="both"/>
        <w:rPr>
          <w:rFonts w:ascii="Times New Roman" w:eastAsia="Times New Roman" w:hAnsi="Times New Roman" w:cs="Times New Roman"/>
          <w:sz w:val="28"/>
          <w:szCs w:val="28"/>
        </w:rPr>
      </w:pPr>
    </w:p>
    <w:p w14:paraId="7040732B" w14:textId="77777777" w:rsidR="00586CEB" w:rsidRPr="00586CEB" w:rsidRDefault="00586CEB">
      <w:pPr>
        <w:spacing w:line="240" w:lineRule="auto"/>
        <w:jc w:val="both"/>
        <w:rPr>
          <w:rFonts w:ascii="Times New Roman" w:eastAsia="Times New Roman" w:hAnsi="Times New Roman" w:cs="Times New Roman"/>
          <w:sz w:val="28"/>
          <w:szCs w:val="28"/>
        </w:rPr>
      </w:pPr>
    </w:p>
    <w:p w14:paraId="57365766" w14:textId="77777777" w:rsidR="00586CEB" w:rsidRPr="00586CEB" w:rsidRDefault="00586CEB">
      <w:pPr>
        <w:spacing w:line="240" w:lineRule="auto"/>
        <w:jc w:val="both"/>
        <w:rPr>
          <w:rFonts w:ascii="Times New Roman" w:eastAsia="Times New Roman" w:hAnsi="Times New Roman" w:cs="Times New Roman"/>
          <w:sz w:val="28"/>
          <w:szCs w:val="28"/>
        </w:rPr>
      </w:pPr>
    </w:p>
    <w:p w14:paraId="33582E0C" w14:textId="77777777" w:rsidR="00586CEB" w:rsidRDefault="00586CEB">
      <w:pPr>
        <w:spacing w:line="240" w:lineRule="auto"/>
        <w:jc w:val="both"/>
        <w:rPr>
          <w:rFonts w:ascii="Times New Roman" w:eastAsia="Times New Roman" w:hAnsi="Times New Roman" w:cs="Times New Roman"/>
          <w:sz w:val="28"/>
          <w:szCs w:val="28"/>
        </w:rPr>
      </w:pPr>
    </w:p>
    <w:p w14:paraId="52F78BBF" w14:textId="77777777" w:rsidR="002A75E2" w:rsidRDefault="002A75E2">
      <w:pPr>
        <w:spacing w:line="240" w:lineRule="auto"/>
        <w:jc w:val="both"/>
        <w:rPr>
          <w:rFonts w:ascii="Times New Roman" w:eastAsia="Times New Roman" w:hAnsi="Times New Roman" w:cs="Times New Roman"/>
          <w:sz w:val="28"/>
          <w:szCs w:val="28"/>
        </w:rPr>
      </w:pPr>
    </w:p>
    <w:p w14:paraId="3C6DD6DD" w14:textId="77777777" w:rsidR="002A75E2" w:rsidRDefault="002A75E2">
      <w:pPr>
        <w:spacing w:line="240" w:lineRule="auto"/>
        <w:jc w:val="both"/>
        <w:rPr>
          <w:rFonts w:ascii="Times New Roman" w:eastAsia="Times New Roman" w:hAnsi="Times New Roman" w:cs="Times New Roman"/>
          <w:sz w:val="28"/>
          <w:szCs w:val="28"/>
        </w:rPr>
      </w:pPr>
    </w:p>
    <w:p w14:paraId="7F76CAD0" w14:textId="77777777" w:rsidR="002A75E2" w:rsidRDefault="002A75E2">
      <w:pPr>
        <w:spacing w:line="240" w:lineRule="auto"/>
        <w:jc w:val="both"/>
        <w:rPr>
          <w:rFonts w:ascii="Times New Roman" w:eastAsia="Times New Roman" w:hAnsi="Times New Roman" w:cs="Times New Roman"/>
          <w:sz w:val="28"/>
          <w:szCs w:val="28"/>
        </w:rPr>
      </w:pPr>
    </w:p>
    <w:p w14:paraId="054C31F9" w14:textId="77777777" w:rsidR="002A75E2" w:rsidRDefault="002A75E2">
      <w:pPr>
        <w:spacing w:line="240" w:lineRule="auto"/>
        <w:jc w:val="both"/>
        <w:rPr>
          <w:rFonts w:ascii="Times New Roman" w:eastAsia="Times New Roman" w:hAnsi="Times New Roman" w:cs="Times New Roman"/>
          <w:sz w:val="28"/>
          <w:szCs w:val="28"/>
        </w:rPr>
      </w:pPr>
    </w:p>
    <w:p w14:paraId="5FD31DBF" w14:textId="77777777" w:rsidR="002A75E2" w:rsidRDefault="002A75E2">
      <w:pPr>
        <w:spacing w:line="240" w:lineRule="auto"/>
        <w:jc w:val="both"/>
        <w:rPr>
          <w:rFonts w:ascii="Times New Roman" w:eastAsia="Times New Roman" w:hAnsi="Times New Roman" w:cs="Times New Roman"/>
          <w:sz w:val="28"/>
          <w:szCs w:val="28"/>
        </w:rPr>
      </w:pPr>
    </w:p>
    <w:p w14:paraId="5F32C6A0" w14:textId="77777777" w:rsidR="002A75E2" w:rsidRDefault="002A75E2">
      <w:pPr>
        <w:spacing w:line="240" w:lineRule="auto"/>
        <w:jc w:val="both"/>
        <w:rPr>
          <w:rFonts w:ascii="Times New Roman" w:eastAsia="Times New Roman" w:hAnsi="Times New Roman" w:cs="Times New Roman"/>
          <w:sz w:val="28"/>
          <w:szCs w:val="28"/>
        </w:rPr>
      </w:pPr>
    </w:p>
    <w:p w14:paraId="677F2967" w14:textId="77777777" w:rsidR="002A75E2" w:rsidRDefault="002A75E2">
      <w:pPr>
        <w:spacing w:line="240" w:lineRule="auto"/>
        <w:jc w:val="both"/>
        <w:rPr>
          <w:rFonts w:ascii="Times New Roman" w:eastAsia="Times New Roman" w:hAnsi="Times New Roman" w:cs="Times New Roman"/>
          <w:sz w:val="28"/>
          <w:szCs w:val="28"/>
        </w:rPr>
      </w:pPr>
    </w:p>
    <w:p w14:paraId="67B04DB3" w14:textId="77777777" w:rsidR="002A75E2" w:rsidRDefault="002A75E2">
      <w:pPr>
        <w:spacing w:line="240" w:lineRule="auto"/>
        <w:jc w:val="both"/>
        <w:rPr>
          <w:rFonts w:ascii="Times New Roman" w:eastAsia="Times New Roman" w:hAnsi="Times New Roman" w:cs="Times New Roman"/>
          <w:sz w:val="28"/>
          <w:szCs w:val="28"/>
        </w:rPr>
      </w:pPr>
    </w:p>
    <w:p w14:paraId="6475C403" w14:textId="77777777" w:rsidR="002A75E2" w:rsidRDefault="002A75E2">
      <w:pPr>
        <w:spacing w:line="240" w:lineRule="auto"/>
        <w:jc w:val="both"/>
        <w:rPr>
          <w:rFonts w:ascii="Times New Roman" w:eastAsia="Times New Roman" w:hAnsi="Times New Roman" w:cs="Times New Roman"/>
          <w:sz w:val="28"/>
          <w:szCs w:val="28"/>
        </w:rPr>
      </w:pPr>
    </w:p>
    <w:p w14:paraId="7A495029" w14:textId="77777777" w:rsidR="002A75E2" w:rsidRDefault="002A75E2">
      <w:pPr>
        <w:spacing w:line="240" w:lineRule="auto"/>
        <w:jc w:val="both"/>
        <w:rPr>
          <w:rFonts w:ascii="Times New Roman" w:eastAsia="Times New Roman" w:hAnsi="Times New Roman" w:cs="Times New Roman"/>
          <w:sz w:val="28"/>
          <w:szCs w:val="28"/>
        </w:rPr>
      </w:pPr>
    </w:p>
    <w:p w14:paraId="190F3544" w14:textId="77777777" w:rsidR="002A75E2" w:rsidRDefault="002A75E2">
      <w:pPr>
        <w:spacing w:line="240" w:lineRule="auto"/>
        <w:jc w:val="both"/>
        <w:rPr>
          <w:rFonts w:ascii="Times New Roman" w:eastAsia="Times New Roman" w:hAnsi="Times New Roman" w:cs="Times New Roman"/>
          <w:sz w:val="28"/>
          <w:szCs w:val="28"/>
        </w:rPr>
      </w:pPr>
    </w:p>
    <w:p w14:paraId="4DC65F6C" w14:textId="77777777" w:rsidR="002A75E2" w:rsidRDefault="002A75E2">
      <w:pPr>
        <w:spacing w:line="240" w:lineRule="auto"/>
        <w:jc w:val="both"/>
        <w:rPr>
          <w:rFonts w:ascii="Times New Roman" w:eastAsia="Times New Roman" w:hAnsi="Times New Roman" w:cs="Times New Roman"/>
          <w:sz w:val="28"/>
          <w:szCs w:val="28"/>
        </w:rPr>
      </w:pPr>
    </w:p>
    <w:p w14:paraId="28AA9407" w14:textId="77777777" w:rsidR="002A75E2" w:rsidRDefault="002A75E2">
      <w:pPr>
        <w:spacing w:line="240" w:lineRule="auto"/>
        <w:jc w:val="both"/>
        <w:rPr>
          <w:rFonts w:ascii="Times New Roman" w:eastAsia="Times New Roman" w:hAnsi="Times New Roman" w:cs="Times New Roman"/>
          <w:sz w:val="28"/>
          <w:szCs w:val="28"/>
        </w:rPr>
      </w:pPr>
    </w:p>
    <w:p w14:paraId="55CD1E43" w14:textId="4E478448" w:rsidR="00586CEB" w:rsidRDefault="0090633D">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I</w:t>
      </w:r>
      <w:r w:rsidR="00FE6030" w:rsidRPr="00586CEB">
        <w:rPr>
          <w:rFonts w:ascii="Times New Roman" w:eastAsia="Times New Roman" w:hAnsi="Times New Roman" w:cs="Times New Roman"/>
          <w:sz w:val="28"/>
          <w:szCs w:val="28"/>
        </w:rPr>
        <w:t xml:space="preserve">f I </w:t>
      </w:r>
      <w:r w:rsidRPr="00586CEB">
        <w:rPr>
          <w:rFonts w:ascii="Times New Roman" w:eastAsia="Times New Roman" w:hAnsi="Times New Roman" w:cs="Times New Roman"/>
          <w:sz w:val="28"/>
          <w:szCs w:val="28"/>
        </w:rPr>
        <w:t xml:space="preserve">may now draw your attention to paragraph 52 of the respondent factum. </w:t>
      </w:r>
      <w:r w:rsidR="00E77000" w:rsidRPr="00586CEB">
        <w:rPr>
          <w:rFonts w:ascii="Times New Roman" w:eastAsia="Times New Roman" w:hAnsi="Times New Roman" w:cs="Times New Roman"/>
          <w:sz w:val="28"/>
          <w:szCs w:val="28"/>
        </w:rPr>
        <w:t xml:space="preserve">The new regulations </w:t>
      </w:r>
      <w:r w:rsidR="00F74667" w:rsidRPr="00586CEB">
        <w:rPr>
          <w:rFonts w:ascii="Times New Roman" w:eastAsia="Times New Roman" w:hAnsi="Times New Roman" w:cs="Times New Roman"/>
          <w:sz w:val="28"/>
          <w:szCs w:val="28"/>
        </w:rPr>
        <w:t xml:space="preserve">are </w:t>
      </w:r>
      <w:r w:rsidR="00E77000" w:rsidRPr="00586CEB">
        <w:rPr>
          <w:rFonts w:ascii="Times New Roman" w:eastAsia="Times New Roman" w:hAnsi="Times New Roman" w:cs="Times New Roman"/>
          <w:sz w:val="28"/>
          <w:szCs w:val="28"/>
        </w:rPr>
        <w:t xml:space="preserve">also </w:t>
      </w:r>
      <w:r w:rsidR="00F74667" w:rsidRPr="00586CEB">
        <w:rPr>
          <w:rFonts w:ascii="Times New Roman" w:eastAsia="Times New Roman" w:hAnsi="Times New Roman" w:cs="Times New Roman"/>
          <w:sz w:val="28"/>
          <w:szCs w:val="28"/>
        </w:rPr>
        <w:t xml:space="preserve">not arbitrary as they </w:t>
      </w:r>
      <w:r w:rsidR="00E77000" w:rsidRPr="00586CEB">
        <w:rPr>
          <w:rFonts w:ascii="Times New Roman" w:eastAsia="Times New Roman" w:hAnsi="Times New Roman" w:cs="Times New Roman"/>
          <w:sz w:val="28"/>
          <w:szCs w:val="28"/>
        </w:rPr>
        <w:t>respond to the differing needs</w:t>
      </w:r>
      <w:r w:rsidR="00FE6030" w:rsidRPr="00586CEB">
        <w:rPr>
          <w:rFonts w:ascii="Times New Roman" w:eastAsia="Times New Roman" w:hAnsi="Times New Roman" w:cs="Times New Roman"/>
          <w:sz w:val="28"/>
          <w:szCs w:val="28"/>
        </w:rPr>
        <w:t xml:space="preserve">, </w:t>
      </w:r>
      <w:r w:rsidR="00E77000" w:rsidRPr="00586CEB">
        <w:rPr>
          <w:rFonts w:ascii="Times New Roman" w:eastAsia="Times New Roman" w:hAnsi="Times New Roman" w:cs="Times New Roman"/>
          <w:sz w:val="28"/>
          <w:szCs w:val="28"/>
        </w:rPr>
        <w:t>capabilities</w:t>
      </w:r>
      <w:r w:rsidR="00FE6030" w:rsidRPr="00586CEB">
        <w:rPr>
          <w:rFonts w:ascii="Times New Roman" w:eastAsia="Times New Roman" w:hAnsi="Times New Roman" w:cs="Times New Roman"/>
          <w:sz w:val="28"/>
          <w:szCs w:val="28"/>
        </w:rPr>
        <w:t>, and circumstances</w:t>
      </w:r>
      <w:r w:rsidR="00E77000" w:rsidRPr="00586CEB">
        <w:rPr>
          <w:rFonts w:ascii="Times New Roman" w:eastAsia="Times New Roman" w:hAnsi="Times New Roman" w:cs="Times New Roman"/>
          <w:sz w:val="28"/>
          <w:szCs w:val="28"/>
        </w:rPr>
        <w:t xml:space="preserve"> of young adults in northern Ontario</w:t>
      </w:r>
      <w:r w:rsidR="00F74667" w:rsidRPr="00586CEB">
        <w:rPr>
          <w:rFonts w:ascii="Times New Roman" w:eastAsia="Times New Roman" w:hAnsi="Times New Roman" w:cs="Times New Roman"/>
          <w:sz w:val="28"/>
          <w:szCs w:val="28"/>
        </w:rPr>
        <w:t>. The minist</w:t>
      </w:r>
      <w:r w:rsidRPr="00586CEB">
        <w:rPr>
          <w:rFonts w:ascii="Times New Roman" w:eastAsia="Times New Roman" w:hAnsi="Times New Roman" w:cs="Times New Roman"/>
          <w:sz w:val="28"/>
          <w:szCs w:val="28"/>
        </w:rPr>
        <w:t>er</w:t>
      </w:r>
      <w:r w:rsidR="00F74667" w:rsidRPr="00586CEB">
        <w:rPr>
          <w:rFonts w:ascii="Times New Roman" w:eastAsia="Times New Roman" w:hAnsi="Times New Roman" w:cs="Times New Roman"/>
          <w:sz w:val="28"/>
          <w:szCs w:val="28"/>
        </w:rPr>
        <w:t xml:space="preserve"> (</w:t>
      </w:r>
      <w:r w:rsidR="007D5503" w:rsidRPr="00586CEB">
        <w:rPr>
          <w:rFonts w:ascii="Times New Roman" w:eastAsia="Times New Roman" w:hAnsi="Times New Roman" w:cs="Times New Roman"/>
          <w:sz w:val="28"/>
          <w:szCs w:val="28"/>
        </w:rPr>
        <w:t>FP</w:t>
      </w:r>
      <w:r w:rsidR="00861E68" w:rsidRPr="00586CEB">
        <w:rPr>
          <w:rFonts w:ascii="Times New Roman" w:eastAsia="Times New Roman" w:hAnsi="Times New Roman" w:cs="Times New Roman"/>
          <w:sz w:val="28"/>
          <w:szCs w:val="28"/>
        </w:rPr>
        <w:t xml:space="preserve"> </w:t>
      </w:r>
      <w:r w:rsidR="00F74667" w:rsidRPr="00586CEB">
        <w:rPr>
          <w:rFonts w:ascii="Times New Roman" w:eastAsia="Times New Roman" w:hAnsi="Times New Roman" w:cs="Times New Roman"/>
          <w:sz w:val="28"/>
          <w:szCs w:val="28"/>
        </w:rPr>
        <w:t>at paragraph 2</w:t>
      </w:r>
      <w:r w:rsidR="00ED54D5" w:rsidRPr="00586CEB">
        <w:rPr>
          <w:rFonts w:ascii="Times New Roman" w:eastAsia="Times New Roman" w:hAnsi="Times New Roman" w:cs="Times New Roman"/>
          <w:sz w:val="28"/>
          <w:szCs w:val="28"/>
        </w:rPr>
        <w:t>3</w:t>
      </w:r>
      <w:r w:rsidR="00F74667" w:rsidRPr="00586CEB">
        <w:rPr>
          <w:rFonts w:ascii="Times New Roman" w:eastAsia="Times New Roman" w:hAnsi="Times New Roman" w:cs="Times New Roman"/>
          <w:sz w:val="28"/>
          <w:szCs w:val="28"/>
        </w:rPr>
        <w:t>(f)) identified adults under 30 as being a key demographic to achieving long-term economic growth</w:t>
      </w:r>
      <w:r w:rsidR="00E77000" w:rsidRPr="00586CEB">
        <w:rPr>
          <w:rFonts w:ascii="Times New Roman" w:eastAsia="Times New Roman" w:hAnsi="Times New Roman" w:cs="Times New Roman"/>
          <w:sz w:val="28"/>
          <w:szCs w:val="28"/>
        </w:rPr>
        <w:t xml:space="preserve"> in the region. </w:t>
      </w:r>
      <w:r w:rsidR="004471B6" w:rsidRPr="00586CEB">
        <w:rPr>
          <w:rFonts w:ascii="Times New Roman" w:eastAsia="Times New Roman" w:hAnsi="Times New Roman" w:cs="Times New Roman"/>
          <w:sz w:val="28"/>
          <w:szCs w:val="28"/>
        </w:rPr>
        <w:t>T</w:t>
      </w:r>
      <w:r w:rsidR="00E77000" w:rsidRPr="00586CEB">
        <w:rPr>
          <w:rFonts w:ascii="Times New Roman" w:eastAsia="Times New Roman" w:hAnsi="Times New Roman" w:cs="Times New Roman"/>
          <w:sz w:val="28"/>
          <w:szCs w:val="28"/>
        </w:rPr>
        <w:t>he Ministry can rely on informed generalizations regarding age when crafting legislation as, practically speaking, these age-based distinctions are necessary for organizing society (</w:t>
      </w:r>
      <w:r w:rsidR="00ED54D5" w:rsidRPr="00586CEB">
        <w:rPr>
          <w:rFonts w:ascii="Times New Roman" w:eastAsia="Times New Roman" w:hAnsi="Times New Roman" w:cs="Times New Roman"/>
          <w:sz w:val="28"/>
          <w:szCs w:val="28"/>
        </w:rPr>
        <w:t xml:space="preserve">RF at 53, </w:t>
      </w:r>
      <w:r w:rsidR="00E77000" w:rsidRPr="00586CEB">
        <w:rPr>
          <w:rFonts w:ascii="Times New Roman" w:eastAsia="Times New Roman" w:hAnsi="Times New Roman" w:cs="Times New Roman"/>
          <w:sz w:val="28"/>
          <w:szCs w:val="28"/>
        </w:rPr>
        <w:t xml:space="preserve">Gosselin at para 31). </w:t>
      </w:r>
      <w:r w:rsidR="00F74667" w:rsidRPr="00586CEB">
        <w:rPr>
          <w:rFonts w:ascii="Times New Roman" w:eastAsia="Times New Roman" w:hAnsi="Times New Roman" w:cs="Times New Roman"/>
          <w:sz w:val="28"/>
          <w:szCs w:val="28"/>
        </w:rPr>
        <w:t>T</w:t>
      </w:r>
      <w:r w:rsidR="00E77000" w:rsidRPr="00586CEB">
        <w:rPr>
          <w:rFonts w:ascii="Times New Roman" w:eastAsia="Times New Roman" w:hAnsi="Times New Roman" w:cs="Times New Roman"/>
          <w:sz w:val="28"/>
          <w:szCs w:val="28"/>
        </w:rPr>
        <w:t>he supreme court</w:t>
      </w:r>
      <w:r w:rsidR="00F74667" w:rsidRPr="00586CEB">
        <w:rPr>
          <w:rFonts w:ascii="Times New Roman" w:eastAsia="Times New Roman" w:hAnsi="Times New Roman" w:cs="Times New Roman"/>
          <w:sz w:val="28"/>
          <w:szCs w:val="28"/>
        </w:rPr>
        <w:t xml:space="preserve"> in Gosselin</w:t>
      </w:r>
      <w:r w:rsidR="00875620" w:rsidRPr="00586CEB">
        <w:rPr>
          <w:rFonts w:ascii="Times New Roman" w:eastAsia="Times New Roman" w:hAnsi="Times New Roman" w:cs="Times New Roman"/>
          <w:sz w:val="28"/>
          <w:szCs w:val="28"/>
        </w:rPr>
        <w:t xml:space="preserve"> similarly</w:t>
      </w:r>
      <w:r w:rsidR="00F74667" w:rsidRPr="00586CEB">
        <w:rPr>
          <w:rFonts w:ascii="Times New Roman" w:eastAsia="Times New Roman" w:hAnsi="Times New Roman" w:cs="Times New Roman"/>
          <w:sz w:val="28"/>
          <w:szCs w:val="28"/>
        </w:rPr>
        <w:t xml:space="preserve"> </w:t>
      </w:r>
      <w:r w:rsidR="00E77000" w:rsidRPr="00586CEB">
        <w:rPr>
          <w:rFonts w:ascii="Times New Roman" w:eastAsia="Times New Roman" w:hAnsi="Times New Roman" w:cs="Times New Roman"/>
          <w:sz w:val="28"/>
          <w:szCs w:val="28"/>
        </w:rPr>
        <w:t xml:space="preserve">found that impugned </w:t>
      </w:r>
      <w:r w:rsidR="00F74667" w:rsidRPr="00586CEB">
        <w:rPr>
          <w:rFonts w:ascii="Times New Roman" w:eastAsia="Times New Roman" w:hAnsi="Times New Roman" w:cs="Times New Roman"/>
          <w:sz w:val="28"/>
          <w:szCs w:val="28"/>
        </w:rPr>
        <w:t>law</w:t>
      </w:r>
      <w:r w:rsidR="004471B6" w:rsidRPr="00586CEB">
        <w:rPr>
          <w:rFonts w:ascii="Times New Roman" w:eastAsia="Times New Roman" w:hAnsi="Times New Roman" w:cs="Times New Roman"/>
          <w:sz w:val="28"/>
          <w:szCs w:val="28"/>
        </w:rPr>
        <w:t xml:space="preserve"> </w:t>
      </w:r>
      <w:r w:rsidR="00875620" w:rsidRPr="00586CEB">
        <w:rPr>
          <w:rFonts w:ascii="Times New Roman" w:eastAsia="Times New Roman" w:hAnsi="Times New Roman" w:cs="Times New Roman"/>
          <w:sz w:val="28"/>
          <w:szCs w:val="28"/>
        </w:rPr>
        <w:t>which</w:t>
      </w:r>
      <w:r w:rsidR="004471B6" w:rsidRPr="00586CEB">
        <w:rPr>
          <w:rFonts w:ascii="Times New Roman" w:eastAsia="Times New Roman" w:hAnsi="Times New Roman" w:cs="Times New Roman"/>
          <w:sz w:val="28"/>
          <w:szCs w:val="28"/>
        </w:rPr>
        <w:t xml:space="preserve"> </w:t>
      </w:r>
      <w:r w:rsidR="00E77000" w:rsidRPr="00586CEB">
        <w:rPr>
          <w:rFonts w:ascii="Times New Roman" w:eastAsia="Times New Roman" w:hAnsi="Times New Roman" w:cs="Times New Roman"/>
          <w:sz w:val="28"/>
          <w:szCs w:val="28"/>
        </w:rPr>
        <w:t xml:space="preserve">introduced work program enrollment requirements for recipients under 30 </w:t>
      </w:r>
      <w:r w:rsidR="00875620" w:rsidRPr="00586CEB">
        <w:rPr>
          <w:rFonts w:ascii="Times New Roman" w:eastAsia="Times New Roman" w:hAnsi="Times New Roman" w:cs="Times New Roman"/>
          <w:sz w:val="28"/>
          <w:szCs w:val="28"/>
        </w:rPr>
        <w:t>to</w:t>
      </w:r>
      <w:r w:rsidR="00E77000" w:rsidRPr="00586CEB">
        <w:rPr>
          <w:rFonts w:ascii="Times New Roman" w:eastAsia="Times New Roman" w:hAnsi="Times New Roman" w:cs="Times New Roman"/>
          <w:sz w:val="28"/>
          <w:szCs w:val="28"/>
        </w:rPr>
        <w:t xml:space="preserve"> qualify for </w:t>
      </w:r>
      <w:r w:rsidR="004471B6" w:rsidRPr="00586CEB">
        <w:rPr>
          <w:rFonts w:ascii="Times New Roman" w:eastAsia="Times New Roman" w:hAnsi="Times New Roman" w:cs="Times New Roman"/>
          <w:sz w:val="28"/>
          <w:szCs w:val="28"/>
        </w:rPr>
        <w:t xml:space="preserve">increased </w:t>
      </w:r>
      <w:r w:rsidR="00E77000" w:rsidRPr="00586CEB">
        <w:rPr>
          <w:rFonts w:ascii="Times New Roman" w:eastAsia="Times New Roman" w:hAnsi="Times New Roman" w:cs="Times New Roman"/>
          <w:sz w:val="28"/>
          <w:szCs w:val="28"/>
        </w:rPr>
        <w:t>benefits, corresponded to the</w:t>
      </w:r>
      <w:r w:rsidR="004471B6" w:rsidRPr="00586CEB">
        <w:rPr>
          <w:rFonts w:ascii="Times New Roman" w:eastAsia="Times New Roman" w:hAnsi="Times New Roman" w:cs="Times New Roman"/>
          <w:sz w:val="28"/>
          <w:szCs w:val="28"/>
        </w:rPr>
        <w:t>ir</w:t>
      </w:r>
      <w:r w:rsidR="00E77000" w:rsidRPr="00586CEB">
        <w:rPr>
          <w:rFonts w:ascii="Times New Roman" w:eastAsia="Times New Roman" w:hAnsi="Times New Roman" w:cs="Times New Roman"/>
          <w:sz w:val="28"/>
          <w:szCs w:val="28"/>
        </w:rPr>
        <w:t xml:space="preserve"> actual needs</w:t>
      </w:r>
      <w:r w:rsidR="00875620" w:rsidRPr="00586CEB">
        <w:rPr>
          <w:rFonts w:ascii="Times New Roman" w:eastAsia="Times New Roman" w:hAnsi="Times New Roman" w:cs="Times New Roman"/>
          <w:sz w:val="28"/>
          <w:szCs w:val="28"/>
        </w:rPr>
        <w:t xml:space="preserve">, citing high school dropout and unemployment rates as justification for providing those under 30 with the opportunity to obtain new skills for the relevant job market </w:t>
      </w:r>
      <w:r w:rsidR="00E77000" w:rsidRPr="00586CEB">
        <w:rPr>
          <w:rFonts w:ascii="Times New Roman" w:eastAsia="Times New Roman" w:hAnsi="Times New Roman" w:cs="Times New Roman"/>
          <w:sz w:val="28"/>
          <w:szCs w:val="28"/>
        </w:rPr>
        <w:t>(</w:t>
      </w:r>
      <w:r w:rsidR="00ED54D5" w:rsidRPr="00586CEB">
        <w:rPr>
          <w:rFonts w:ascii="Times New Roman" w:eastAsia="Times New Roman" w:hAnsi="Times New Roman" w:cs="Times New Roman"/>
          <w:sz w:val="28"/>
          <w:szCs w:val="28"/>
        </w:rPr>
        <w:t xml:space="preserve">RF at 54 citing </w:t>
      </w:r>
      <w:r w:rsidR="00E77000" w:rsidRPr="00586CEB">
        <w:rPr>
          <w:rFonts w:ascii="Times New Roman" w:hAnsi="Times New Roman" w:cs="Times New Roman"/>
          <w:i/>
          <w:iCs/>
          <w:color w:val="000000"/>
          <w:sz w:val="28"/>
          <w:szCs w:val="28"/>
        </w:rPr>
        <w:t>Gosselin</w:t>
      </w:r>
      <w:r w:rsidR="00E77000" w:rsidRPr="00586CEB">
        <w:rPr>
          <w:rFonts w:ascii="Times New Roman" w:hAnsi="Times New Roman" w:cs="Times New Roman"/>
          <w:color w:val="000000"/>
          <w:sz w:val="28"/>
          <w:szCs w:val="28"/>
        </w:rPr>
        <w:t xml:space="preserve"> at paras </w:t>
      </w:r>
      <w:r w:rsidR="00875620" w:rsidRPr="00586CEB">
        <w:rPr>
          <w:rFonts w:ascii="Times New Roman" w:hAnsi="Times New Roman" w:cs="Times New Roman"/>
          <w:color w:val="000000"/>
          <w:sz w:val="28"/>
          <w:szCs w:val="28"/>
        </w:rPr>
        <w:t xml:space="preserve">40, </w:t>
      </w:r>
      <w:r w:rsidR="00E77000" w:rsidRPr="00586CEB">
        <w:rPr>
          <w:rFonts w:ascii="Times New Roman" w:hAnsi="Times New Roman" w:cs="Times New Roman"/>
          <w:color w:val="000000"/>
          <w:sz w:val="28"/>
          <w:szCs w:val="28"/>
        </w:rPr>
        <w:t>47–48, 52)</w:t>
      </w:r>
      <w:r w:rsidR="00E77000" w:rsidRPr="00586CEB">
        <w:rPr>
          <w:rFonts w:ascii="Times New Roman" w:eastAsia="Times New Roman" w:hAnsi="Times New Roman" w:cs="Times New Roman"/>
          <w:sz w:val="28"/>
          <w:szCs w:val="28"/>
        </w:rPr>
        <w:t>.</w:t>
      </w:r>
      <w:r w:rsidR="004471B6" w:rsidRPr="00586CEB">
        <w:rPr>
          <w:rFonts w:ascii="Times New Roman" w:eastAsia="Times New Roman" w:hAnsi="Times New Roman" w:cs="Times New Roman"/>
          <w:sz w:val="28"/>
          <w:szCs w:val="28"/>
        </w:rPr>
        <w:t xml:space="preserve"> </w:t>
      </w:r>
    </w:p>
    <w:p w14:paraId="0926E499" w14:textId="77777777" w:rsidR="00586CEB" w:rsidRDefault="00586CEB">
      <w:pPr>
        <w:spacing w:line="240" w:lineRule="auto"/>
        <w:jc w:val="both"/>
        <w:rPr>
          <w:rFonts w:ascii="Times New Roman" w:eastAsia="Times New Roman" w:hAnsi="Times New Roman" w:cs="Times New Roman"/>
          <w:sz w:val="28"/>
          <w:szCs w:val="28"/>
        </w:rPr>
      </w:pPr>
    </w:p>
    <w:p w14:paraId="45F10D86" w14:textId="77777777" w:rsidR="00586CEB" w:rsidRDefault="00586CEB">
      <w:pPr>
        <w:spacing w:line="240" w:lineRule="auto"/>
        <w:jc w:val="both"/>
        <w:rPr>
          <w:rFonts w:ascii="Times New Roman" w:eastAsia="Times New Roman" w:hAnsi="Times New Roman" w:cs="Times New Roman"/>
          <w:sz w:val="28"/>
          <w:szCs w:val="28"/>
        </w:rPr>
      </w:pPr>
    </w:p>
    <w:p w14:paraId="00000017" w14:textId="341C8A43" w:rsidR="00934474" w:rsidRPr="00586CEB" w:rsidRDefault="00875620">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The new regulations therefore create a similar opportunity for the appellant, a high school dropout affected by unsteady employment to receive the necessary education and training to obtain a sustainable job. </w:t>
      </w:r>
      <w:r w:rsidR="00E77000" w:rsidRPr="00586CEB">
        <w:rPr>
          <w:rFonts w:ascii="Times New Roman" w:eastAsia="Times New Roman" w:hAnsi="Times New Roman" w:cs="Times New Roman"/>
          <w:sz w:val="28"/>
          <w:szCs w:val="28"/>
        </w:rPr>
        <w:t>While the Appellant’s affidavit states he felt unable to complete certain programs cit</w:t>
      </w:r>
      <w:r w:rsidR="00153B46" w:rsidRPr="00586CEB">
        <w:rPr>
          <w:rFonts w:ascii="Times New Roman" w:eastAsia="Times New Roman" w:hAnsi="Times New Roman" w:cs="Times New Roman"/>
          <w:sz w:val="28"/>
          <w:szCs w:val="28"/>
        </w:rPr>
        <w:t>ing</w:t>
      </w:r>
      <w:r w:rsidR="00E77000" w:rsidRPr="00586CEB">
        <w:rPr>
          <w:rFonts w:ascii="Times New Roman" w:eastAsia="Times New Roman" w:hAnsi="Times New Roman" w:cs="Times New Roman"/>
          <w:sz w:val="28"/>
          <w:szCs w:val="28"/>
        </w:rPr>
        <w:t xml:space="preserve"> the timing of some courses and his subjective assessment of his physical limitations as barriers, there is no evidence </w:t>
      </w:r>
      <w:r w:rsidR="00861E68" w:rsidRPr="00586CEB">
        <w:rPr>
          <w:rFonts w:ascii="Times New Roman" w:eastAsia="Times New Roman" w:hAnsi="Times New Roman" w:cs="Times New Roman"/>
          <w:sz w:val="28"/>
          <w:szCs w:val="28"/>
        </w:rPr>
        <w:t xml:space="preserve">such as a doctor’s note or other assessment </w:t>
      </w:r>
      <w:r w:rsidR="00E77000" w:rsidRPr="00586CEB">
        <w:rPr>
          <w:rFonts w:ascii="Times New Roman" w:eastAsia="Times New Roman" w:hAnsi="Times New Roman" w:cs="Times New Roman"/>
          <w:sz w:val="28"/>
          <w:szCs w:val="28"/>
        </w:rPr>
        <w:t>demonstrating that all qualified programs were beyond his capabilities</w:t>
      </w:r>
      <w:r w:rsidR="0090633D" w:rsidRPr="00586CEB">
        <w:rPr>
          <w:rFonts w:ascii="Times New Roman" w:eastAsia="Times New Roman" w:hAnsi="Times New Roman" w:cs="Times New Roman"/>
          <w:sz w:val="28"/>
          <w:szCs w:val="28"/>
        </w:rPr>
        <w:t xml:space="preserve"> or the capabilities of young adults generally</w:t>
      </w:r>
      <w:r w:rsidR="000D6A53" w:rsidRPr="00586CEB">
        <w:rPr>
          <w:rFonts w:ascii="Times New Roman" w:eastAsia="Times New Roman" w:hAnsi="Times New Roman" w:cs="Times New Roman"/>
          <w:sz w:val="28"/>
          <w:szCs w:val="28"/>
        </w:rPr>
        <w:t xml:space="preserve"> (RF at 54)</w:t>
      </w:r>
      <w:r w:rsidR="00E77000" w:rsidRPr="00586CEB">
        <w:rPr>
          <w:rFonts w:ascii="Times New Roman" w:eastAsia="Times New Roman" w:hAnsi="Times New Roman" w:cs="Times New Roman"/>
          <w:sz w:val="28"/>
          <w:szCs w:val="28"/>
        </w:rPr>
        <w:t>. Moreover, the New Regulations address the broader needs and abilities of young residents by encouraging educational and skill-building opportunities</w:t>
      </w:r>
      <w:r w:rsidR="000D6A53" w:rsidRPr="00586CEB">
        <w:rPr>
          <w:rFonts w:ascii="Times New Roman" w:eastAsia="Times New Roman" w:hAnsi="Times New Roman" w:cs="Times New Roman"/>
          <w:sz w:val="28"/>
          <w:szCs w:val="28"/>
        </w:rPr>
        <w:t xml:space="preserve"> (RF at 55)</w:t>
      </w:r>
      <w:r w:rsidR="00E77000" w:rsidRPr="00586CEB">
        <w:rPr>
          <w:rFonts w:ascii="Times New Roman" w:eastAsia="Times New Roman" w:hAnsi="Times New Roman" w:cs="Times New Roman"/>
          <w:sz w:val="28"/>
          <w:szCs w:val="28"/>
        </w:rPr>
        <w:t>.</w:t>
      </w:r>
      <w:r w:rsidRPr="00586CEB">
        <w:rPr>
          <w:rFonts w:ascii="Times New Roman" w:eastAsia="Times New Roman" w:hAnsi="Times New Roman" w:cs="Times New Roman"/>
          <w:sz w:val="28"/>
          <w:szCs w:val="28"/>
        </w:rPr>
        <w:t xml:space="preserve"> </w:t>
      </w:r>
      <w:r w:rsidR="00FE6030" w:rsidRPr="00586CEB">
        <w:rPr>
          <w:rFonts w:ascii="Times New Roman" w:eastAsia="Times New Roman" w:hAnsi="Times New Roman" w:cs="Times New Roman"/>
          <w:sz w:val="28"/>
          <w:szCs w:val="28"/>
        </w:rPr>
        <w:t>T</w:t>
      </w:r>
      <w:r w:rsidR="00523986" w:rsidRPr="00586CEB">
        <w:rPr>
          <w:rFonts w:ascii="Times New Roman" w:eastAsia="Times New Roman" w:hAnsi="Times New Roman" w:cs="Times New Roman"/>
          <w:sz w:val="28"/>
          <w:szCs w:val="28"/>
        </w:rPr>
        <w:t>hough</w:t>
      </w:r>
      <w:r w:rsidR="00E77000" w:rsidRPr="00586CEB">
        <w:rPr>
          <w:rFonts w:ascii="Times New Roman" w:eastAsia="Times New Roman" w:hAnsi="Times New Roman" w:cs="Times New Roman"/>
          <w:sz w:val="28"/>
          <w:szCs w:val="28"/>
        </w:rPr>
        <w:t xml:space="preserve"> the Minister acknowledged </w:t>
      </w:r>
      <w:r w:rsidR="00FE6030" w:rsidRPr="00586CEB">
        <w:rPr>
          <w:rFonts w:ascii="Times New Roman" w:eastAsia="Times New Roman" w:hAnsi="Times New Roman" w:cs="Times New Roman"/>
          <w:sz w:val="28"/>
          <w:szCs w:val="28"/>
        </w:rPr>
        <w:t xml:space="preserve">in his testimony that </w:t>
      </w:r>
      <w:r w:rsidR="00523986" w:rsidRPr="00586CEB">
        <w:rPr>
          <w:rFonts w:ascii="Times New Roman" w:eastAsia="Times New Roman" w:hAnsi="Times New Roman" w:cs="Times New Roman"/>
          <w:sz w:val="28"/>
          <w:szCs w:val="28"/>
        </w:rPr>
        <w:t xml:space="preserve">there is </w:t>
      </w:r>
      <w:r w:rsidR="00E77000" w:rsidRPr="00586CEB">
        <w:rPr>
          <w:rFonts w:ascii="Times New Roman" w:eastAsia="Times New Roman" w:hAnsi="Times New Roman" w:cs="Times New Roman"/>
          <w:sz w:val="28"/>
          <w:szCs w:val="28"/>
        </w:rPr>
        <w:t xml:space="preserve">a lack of program availability in </w:t>
      </w:r>
      <w:proofErr w:type="spellStart"/>
      <w:r w:rsidR="00E77000" w:rsidRPr="00586CEB">
        <w:rPr>
          <w:rFonts w:ascii="Times New Roman" w:eastAsia="Times New Roman" w:hAnsi="Times New Roman" w:cs="Times New Roman"/>
          <w:sz w:val="28"/>
          <w:szCs w:val="28"/>
        </w:rPr>
        <w:t>Northhaven</w:t>
      </w:r>
      <w:proofErr w:type="spellEnd"/>
      <w:r w:rsidR="00E77000" w:rsidRPr="00586CEB">
        <w:rPr>
          <w:rFonts w:ascii="Times New Roman" w:eastAsia="Times New Roman" w:hAnsi="Times New Roman" w:cs="Times New Roman"/>
          <w:sz w:val="28"/>
          <w:szCs w:val="28"/>
        </w:rPr>
        <w:t>, the Appellant’s personal choice not to enroll in a program does not undermine the scheme’s ability to meet the needs of others under 30</w:t>
      </w:r>
      <w:r w:rsidR="004471B6" w:rsidRPr="00586CEB">
        <w:rPr>
          <w:rFonts w:ascii="Times New Roman" w:eastAsia="Times New Roman" w:hAnsi="Times New Roman" w:cs="Times New Roman"/>
          <w:sz w:val="28"/>
          <w:szCs w:val="28"/>
        </w:rPr>
        <w:t xml:space="preserve"> as o</w:t>
      </w:r>
      <w:r w:rsidR="00E77000" w:rsidRPr="00586CEB">
        <w:rPr>
          <w:rFonts w:ascii="Times New Roman" w:eastAsia="Times New Roman" w:hAnsi="Times New Roman" w:cs="Times New Roman"/>
          <w:sz w:val="28"/>
          <w:szCs w:val="28"/>
        </w:rPr>
        <w:t xml:space="preserve">ne individual’s preferences </w:t>
      </w:r>
      <w:r w:rsidR="00523986" w:rsidRPr="00586CEB">
        <w:rPr>
          <w:rFonts w:ascii="Times New Roman" w:eastAsia="Times New Roman" w:hAnsi="Times New Roman" w:cs="Times New Roman"/>
          <w:sz w:val="28"/>
          <w:szCs w:val="28"/>
        </w:rPr>
        <w:t xml:space="preserve">and voluntary choice not to participate </w:t>
      </w:r>
      <w:r w:rsidR="00E77000" w:rsidRPr="00586CEB">
        <w:rPr>
          <w:rFonts w:ascii="Times New Roman" w:eastAsia="Times New Roman" w:hAnsi="Times New Roman" w:cs="Times New Roman"/>
          <w:sz w:val="28"/>
          <w:szCs w:val="28"/>
        </w:rPr>
        <w:t xml:space="preserve">cannot invalidate a system designed to benefit </w:t>
      </w:r>
      <w:r w:rsidR="00153B46" w:rsidRPr="00586CEB">
        <w:rPr>
          <w:rFonts w:ascii="Times New Roman" w:eastAsia="Times New Roman" w:hAnsi="Times New Roman" w:cs="Times New Roman"/>
          <w:sz w:val="28"/>
          <w:szCs w:val="28"/>
        </w:rPr>
        <w:t>a community</w:t>
      </w:r>
      <w:r w:rsidR="000D6A53" w:rsidRPr="00586CEB">
        <w:rPr>
          <w:rFonts w:ascii="Times New Roman" w:eastAsia="Times New Roman" w:hAnsi="Times New Roman" w:cs="Times New Roman"/>
          <w:sz w:val="28"/>
          <w:szCs w:val="28"/>
        </w:rPr>
        <w:t xml:space="preserve"> (RF at 55)</w:t>
      </w:r>
      <w:r w:rsidR="00E77000" w:rsidRPr="00586CEB">
        <w:rPr>
          <w:rFonts w:ascii="Times New Roman" w:eastAsia="Times New Roman" w:hAnsi="Times New Roman" w:cs="Times New Roman"/>
          <w:sz w:val="28"/>
          <w:szCs w:val="28"/>
        </w:rPr>
        <w:t>.</w:t>
      </w:r>
    </w:p>
    <w:p w14:paraId="1ED06D39" w14:textId="77777777" w:rsidR="00ED54D5" w:rsidRPr="00586CEB" w:rsidRDefault="00ED54D5">
      <w:pPr>
        <w:spacing w:line="240" w:lineRule="auto"/>
        <w:jc w:val="both"/>
        <w:rPr>
          <w:rFonts w:ascii="Times New Roman" w:eastAsia="Times New Roman" w:hAnsi="Times New Roman" w:cs="Times New Roman"/>
          <w:sz w:val="28"/>
          <w:szCs w:val="28"/>
        </w:rPr>
      </w:pPr>
    </w:p>
    <w:p w14:paraId="6AE8E646" w14:textId="77777777" w:rsidR="00586CEB" w:rsidRDefault="00586CEB">
      <w:pPr>
        <w:spacing w:line="240" w:lineRule="auto"/>
        <w:jc w:val="both"/>
        <w:rPr>
          <w:rFonts w:ascii="Times New Roman" w:eastAsia="Times New Roman" w:hAnsi="Times New Roman" w:cs="Times New Roman"/>
          <w:color w:val="FF0000"/>
          <w:sz w:val="28"/>
          <w:szCs w:val="28"/>
        </w:rPr>
      </w:pPr>
    </w:p>
    <w:p w14:paraId="69E94E69" w14:textId="77777777" w:rsidR="00586CEB" w:rsidRDefault="00586CEB">
      <w:pPr>
        <w:spacing w:line="240" w:lineRule="auto"/>
        <w:jc w:val="both"/>
        <w:rPr>
          <w:rFonts w:ascii="Times New Roman" w:eastAsia="Times New Roman" w:hAnsi="Times New Roman" w:cs="Times New Roman"/>
          <w:color w:val="FF0000"/>
          <w:sz w:val="28"/>
          <w:szCs w:val="28"/>
        </w:rPr>
      </w:pPr>
    </w:p>
    <w:p w14:paraId="513991E0" w14:textId="77777777" w:rsidR="00586CEB" w:rsidRDefault="00586CEB">
      <w:pPr>
        <w:spacing w:line="240" w:lineRule="auto"/>
        <w:jc w:val="both"/>
        <w:rPr>
          <w:rFonts w:ascii="Times New Roman" w:eastAsia="Times New Roman" w:hAnsi="Times New Roman" w:cs="Times New Roman"/>
          <w:color w:val="FF0000"/>
          <w:sz w:val="28"/>
          <w:szCs w:val="28"/>
        </w:rPr>
      </w:pPr>
    </w:p>
    <w:p w14:paraId="53646F8A" w14:textId="77777777" w:rsidR="00586CEB" w:rsidRDefault="00586CEB">
      <w:pPr>
        <w:spacing w:line="240" w:lineRule="auto"/>
        <w:jc w:val="both"/>
        <w:rPr>
          <w:rFonts w:ascii="Times New Roman" w:eastAsia="Times New Roman" w:hAnsi="Times New Roman" w:cs="Times New Roman"/>
          <w:color w:val="FF0000"/>
          <w:sz w:val="28"/>
          <w:szCs w:val="28"/>
        </w:rPr>
      </w:pPr>
    </w:p>
    <w:p w14:paraId="6454904E" w14:textId="77777777" w:rsidR="00586CEB" w:rsidRDefault="00586CEB">
      <w:pPr>
        <w:spacing w:line="240" w:lineRule="auto"/>
        <w:jc w:val="both"/>
        <w:rPr>
          <w:rFonts w:ascii="Times New Roman" w:eastAsia="Times New Roman" w:hAnsi="Times New Roman" w:cs="Times New Roman"/>
          <w:color w:val="FF0000"/>
          <w:sz w:val="28"/>
          <w:szCs w:val="28"/>
        </w:rPr>
      </w:pPr>
    </w:p>
    <w:p w14:paraId="3D84D2A1" w14:textId="77777777" w:rsidR="00586CEB" w:rsidRDefault="00586CEB">
      <w:pPr>
        <w:spacing w:line="240" w:lineRule="auto"/>
        <w:jc w:val="both"/>
        <w:rPr>
          <w:rFonts w:ascii="Times New Roman" w:eastAsia="Times New Roman" w:hAnsi="Times New Roman" w:cs="Times New Roman"/>
          <w:color w:val="FF0000"/>
          <w:sz w:val="28"/>
          <w:szCs w:val="28"/>
        </w:rPr>
      </w:pPr>
    </w:p>
    <w:p w14:paraId="0024EE9D" w14:textId="77777777" w:rsidR="00586CEB" w:rsidRDefault="00586CEB">
      <w:pPr>
        <w:spacing w:line="240" w:lineRule="auto"/>
        <w:jc w:val="both"/>
        <w:rPr>
          <w:rFonts w:ascii="Times New Roman" w:eastAsia="Times New Roman" w:hAnsi="Times New Roman" w:cs="Times New Roman"/>
          <w:color w:val="FF0000"/>
          <w:sz w:val="28"/>
          <w:szCs w:val="28"/>
        </w:rPr>
      </w:pPr>
    </w:p>
    <w:p w14:paraId="48EE1688" w14:textId="77777777" w:rsidR="00586CEB" w:rsidRDefault="00586CEB">
      <w:pPr>
        <w:spacing w:line="240" w:lineRule="auto"/>
        <w:jc w:val="both"/>
        <w:rPr>
          <w:rFonts w:ascii="Times New Roman" w:eastAsia="Times New Roman" w:hAnsi="Times New Roman" w:cs="Times New Roman"/>
          <w:color w:val="FF0000"/>
          <w:sz w:val="28"/>
          <w:szCs w:val="28"/>
        </w:rPr>
      </w:pPr>
    </w:p>
    <w:p w14:paraId="5A373F1D" w14:textId="77777777" w:rsidR="00586CEB" w:rsidRDefault="00586CEB">
      <w:pPr>
        <w:spacing w:line="240" w:lineRule="auto"/>
        <w:jc w:val="both"/>
        <w:rPr>
          <w:rFonts w:ascii="Times New Roman" w:eastAsia="Times New Roman" w:hAnsi="Times New Roman" w:cs="Times New Roman"/>
          <w:color w:val="FF0000"/>
          <w:sz w:val="28"/>
          <w:szCs w:val="28"/>
        </w:rPr>
      </w:pPr>
    </w:p>
    <w:p w14:paraId="219DA807" w14:textId="77777777" w:rsidR="00586CEB" w:rsidRDefault="00586CEB">
      <w:pPr>
        <w:spacing w:line="240" w:lineRule="auto"/>
        <w:jc w:val="both"/>
        <w:rPr>
          <w:rFonts w:ascii="Times New Roman" w:eastAsia="Times New Roman" w:hAnsi="Times New Roman" w:cs="Times New Roman"/>
          <w:color w:val="FF0000"/>
          <w:sz w:val="28"/>
          <w:szCs w:val="28"/>
        </w:rPr>
      </w:pPr>
    </w:p>
    <w:p w14:paraId="00D59874" w14:textId="19CE3EA2" w:rsidR="00ED54D5" w:rsidRPr="00586CEB" w:rsidRDefault="000D6A53" w:rsidP="00586CEB">
      <w:pPr>
        <w:spacing w:line="240" w:lineRule="auto"/>
        <w:jc w:val="center"/>
        <w:rPr>
          <w:rFonts w:ascii="Times New Roman" w:eastAsia="Times New Roman" w:hAnsi="Times New Roman" w:cs="Times New Roman"/>
          <w:color w:val="FF0000"/>
          <w:sz w:val="28"/>
          <w:szCs w:val="28"/>
          <w:u w:val="single"/>
        </w:rPr>
      </w:pPr>
      <w:r w:rsidRPr="00586CEB">
        <w:rPr>
          <w:rFonts w:ascii="Times New Roman" w:eastAsia="Times New Roman" w:hAnsi="Times New Roman" w:cs="Times New Roman"/>
          <w:color w:val="FF0000"/>
          <w:sz w:val="28"/>
          <w:szCs w:val="28"/>
          <w:u w:val="single"/>
        </w:rPr>
        <w:lastRenderedPageBreak/>
        <w:t>Not responding to their needs rebuttal</w:t>
      </w:r>
    </w:p>
    <w:p w14:paraId="2B90ABCF" w14:textId="3E17ED5B" w:rsidR="00875620" w:rsidRPr="00586CEB" w:rsidRDefault="00875620" w:rsidP="00586CEB">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i/>
          <w:iCs/>
          <w:color w:val="FF0000"/>
          <w:sz w:val="28"/>
          <w:szCs w:val="28"/>
        </w:rPr>
        <w:t>Gosselin</w:t>
      </w:r>
      <w:r w:rsidRPr="00586CEB">
        <w:rPr>
          <w:rFonts w:ascii="Times New Roman" w:eastAsia="Times New Roman" w:hAnsi="Times New Roman" w:cs="Times New Roman"/>
          <w:color w:val="FF0000"/>
          <w:sz w:val="28"/>
          <w:szCs w:val="28"/>
        </w:rPr>
        <w:t xml:space="preserve"> – the court similarly reasoned that one’s personal choice not to participate in a program does not mean it doe</w:t>
      </w:r>
      <w:r w:rsidR="00523986" w:rsidRPr="00586CEB">
        <w:rPr>
          <w:rFonts w:ascii="Times New Roman" w:eastAsia="Times New Roman" w:hAnsi="Times New Roman" w:cs="Times New Roman"/>
          <w:color w:val="FF0000"/>
          <w:sz w:val="28"/>
          <w:szCs w:val="28"/>
        </w:rPr>
        <w:t>s</w:t>
      </w:r>
      <w:r w:rsidRPr="00586CEB">
        <w:rPr>
          <w:rFonts w:ascii="Times New Roman" w:eastAsia="Times New Roman" w:hAnsi="Times New Roman" w:cs="Times New Roman"/>
          <w:color w:val="FF0000"/>
          <w:sz w:val="28"/>
          <w:szCs w:val="28"/>
        </w:rPr>
        <w:t xml:space="preserve"> n</w:t>
      </w:r>
      <w:r w:rsidR="00523986" w:rsidRPr="00586CEB">
        <w:rPr>
          <w:rFonts w:ascii="Times New Roman" w:eastAsia="Times New Roman" w:hAnsi="Times New Roman" w:cs="Times New Roman"/>
          <w:color w:val="FF0000"/>
          <w:sz w:val="28"/>
          <w:szCs w:val="28"/>
        </w:rPr>
        <w:t>o</w:t>
      </w:r>
      <w:r w:rsidRPr="00586CEB">
        <w:rPr>
          <w:rFonts w:ascii="Times New Roman" w:eastAsia="Times New Roman" w:hAnsi="Times New Roman" w:cs="Times New Roman"/>
          <w:color w:val="FF0000"/>
          <w:sz w:val="28"/>
          <w:szCs w:val="28"/>
        </w:rPr>
        <w:t xml:space="preserve">t respond to the broader needs and capabilities of the group the belong to </w:t>
      </w:r>
      <w:r w:rsidRPr="00586CEB">
        <w:sym w:font="Wingdings" w:char="F0E0"/>
      </w:r>
      <w:r w:rsidRPr="00586CEB">
        <w:rPr>
          <w:rFonts w:ascii="Times New Roman" w:eastAsia="Times New Roman" w:hAnsi="Times New Roman" w:cs="Times New Roman"/>
          <w:color w:val="FF0000"/>
          <w:sz w:val="28"/>
          <w:szCs w:val="28"/>
        </w:rPr>
        <w:t xml:space="preserve"> the claimant cited things like substance abuse</w:t>
      </w:r>
      <w:r w:rsidR="00523986" w:rsidRPr="00586CEB">
        <w:rPr>
          <w:rFonts w:ascii="Times New Roman" w:eastAsia="Times New Roman" w:hAnsi="Times New Roman" w:cs="Times New Roman"/>
          <w:color w:val="FF0000"/>
          <w:sz w:val="28"/>
          <w:szCs w:val="28"/>
        </w:rPr>
        <w:t xml:space="preserve"> as reasons for not participating in a qualified program </w:t>
      </w:r>
    </w:p>
    <w:p w14:paraId="67D53601" w14:textId="6F966E7B" w:rsidR="00523986" w:rsidRPr="00586CEB" w:rsidRDefault="00586CEB" w:rsidP="00586CE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w:t>
      </w:r>
      <w:r w:rsidR="00523986" w:rsidRPr="00586CEB">
        <w:rPr>
          <w:rFonts w:ascii="Times New Roman" w:eastAsia="Times New Roman" w:hAnsi="Times New Roman" w:cs="Times New Roman"/>
          <w:color w:val="FF0000"/>
          <w:sz w:val="28"/>
          <w:szCs w:val="28"/>
        </w:rPr>
        <w:t xml:space="preserve">he </w:t>
      </w:r>
      <w:r w:rsidRPr="00586CEB">
        <w:rPr>
          <w:rFonts w:ascii="Times New Roman" w:eastAsia="Times New Roman" w:hAnsi="Times New Roman" w:cs="Times New Roman"/>
          <w:color w:val="FF0000"/>
          <w:sz w:val="28"/>
          <w:szCs w:val="28"/>
        </w:rPr>
        <w:t>SCC</w:t>
      </w:r>
      <w:r w:rsidR="00523986" w:rsidRPr="00586CEB">
        <w:rPr>
          <w:rFonts w:ascii="Times New Roman" w:eastAsia="Times New Roman" w:hAnsi="Times New Roman" w:cs="Times New Roman"/>
          <w:color w:val="FF0000"/>
          <w:sz w:val="28"/>
          <w:szCs w:val="28"/>
        </w:rPr>
        <w:t xml:space="preserve"> was unwilling to find that this was representative of the entire claimant group and that her personal circumstances </w:t>
      </w:r>
      <w:r>
        <w:rPr>
          <w:rFonts w:ascii="Times New Roman" w:eastAsia="Times New Roman" w:hAnsi="Times New Roman" w:cs="Times New Roman"/>
          <w:color w:val="FF0000"/>
          <w:sz w:val="28"/>
          <w:szCs w:val="28"/>
        </w:rPr>
        <w:t>did not make the scheme arbitrary</w:t>
      </w:r>
      <w:r w:rsidR="00523986" w:rsidRPr="00586CEB">
        <w:rPr>
          <w:rFonts w:ascii="Times New Roman" w:eastAsia="Times New Roman" w:hAnsi="Times New Roman" w:cs="Times New Roman"/>
          <w:color w:val="FF0000"/>
          <w:sz w:val="28"/>
          <w:szCs w:val="28"/>
        </w:rPr>
        <w:t xml:space="preserve"> </w:t>
      </w:r>
    </w:p>
    <w:p w14:paraId="416A884A" w14:textId="5DC5A964" w:rsidR="00523986" w:rsidRPr="00586CEB" w:rsidRDefault="00523986" w:rsidP="00586CEB">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Even where only 1/3 eligible participants under 30 participated in the program, the court was unwilling to find that it did not actually respond to their needs citing the need for more causal evidence</w:t>
      </w:r>
    </w:p>
    <w:p w14:paraId="52E2C58D" w14:textId="1CE398C9" w:rsidR="00C56FA5" w:rsidRPr="00586CEB" w:rsidRDefault="00C56FA5" w:rsidP="00586CE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There was a lack of first-hand testimony from actual class members and no evidence why only about 1/3</w:t>
      </w:r>
      <w:r w:rsidRPr="00586CEB">
        <w:rPr>
          <w:rFonts w:ascii="Times New Roman" w:eastAsia="Times New Roman" w:hAnsi="Times New Roman" w:cs="Times New Roman"/>
          <w:color w:val="FF0000"/>
          <w:sz w:val="28"/>
          <w:szCs w:val="28"/>
          <w:vertAlign w:val="superscript"/>
        </w:rPr>
        <w:t>rd</w:t>
      </w:r>
      <w:r w:rsidRPr="00586CEB">
        <w:rPr>
          <w:rFonts w:ascii="Times New Roman" w:eastAsia="Times New Roman" w:hAnsi="Times New Roman" w:cs="Times New Roman"/>
          <w:color w:val="FF0000"/>
          <w:sz w:val="28"/>
          <w:szCs w:val="28"/>
        </w:rPr>
        <w:t xml:space="preserve"> of eligible participants participated in the programs – in the absence of such evidence we cannot conclude that the needs of those under </w:t>
      </w:r>
      <w:r w:rsidR="00586CEB" w:rsidRPr="00586CEB">
        <w:rPr>
          <w:rFonts w:ascii="Times New Roman" w:eastAsia="Times New Roman" w:hAnsi="Times New Roman" w:cs="Times New Roman"/>
          <w:color w:val="FF0000"/>
          <w:sz w:val="28"/>
          <w:szCs w:val="28"/>
        </w:rPr>
        <w:t>30</w:t>
      </w:r>
      <w:r w:rsidRPr="00586CEB">
        <w:rPr>
          <w:rFonts w:ascii="Times New Roman" w:eastAsia="Times New Roman" w:hAnsi="Times New Roman" w:cs="Times New Roman"/>
          <w:color w:val="FF0000"/>
          <w:sz w:val="28"/>
          <w:szCs w:val="28"/>
        </w:rPr>
        <w:t xml:space="preserve"> are not actually being met </w:t>
      </w:r>
    </w:p>
    <w:p w14:paraId="0FC29A1E" w14:textId="77777777" w:rsidR="000D6A53" w:rsidRPr="00586CEB" w:rsidRDefault="000D6A53" w:rsidP="000D6A53">
      <w:pPr>
        <w:spacing w:line="240" w:lineRule="auto"/>
        <w:jc w:val="both"/>
        <w:rPr>
          <w:rFonts w:ascii="Times New Roman" w:eastAsia="Times New Roman" w:hAnsi="Times New Roman" w:cs="Times New Roman"/>
          <w:color w:val="FF0000"/>
          <w:sz w:val="28"/>
          <w:szCs w:val="28"/>
        </w:rPr>
      </w:pPr>
    </w:p>
    <w:p w14:paraId="2A0C2F07" w14:textId="385E99CB" w:rsidR="000D6A53" w:rsidRPr="00586CEB" w:rsidRDefault="000D6A53" w:rsidP="00586CEB">
      <w:pPr>
        <w:spacing w:line="240" w:lineRule="auto"/>
        <w:jc w:val="center"/>
        <w:rPr>
          <w:rFonts w:ascii="Times New Roman" w:eastAsia="Times New Roman" w:hAnsi="Times New Roman" w:cs="Times New Roman"/>
          <w:color w:val="FF0000"/>
          <w:sz w:val="28"/>
          <w:szCs w:val="28"/>
          <w:u w:val="single"/>
        </w:rPr>
      </w:pPr>
      <w:r w:rsidRPr="00586CEB">
        <w:rPr>
          <w:rFonts w:ascii="Times New Roman" w:eastAsia="Times New Roman" w:hAnsi="Times New Roman" w:cs="Times New Roman"/>
          <w:color w:val="FF0000"/>
          <w:sz w:val="28"/>
          <w:szCs w:val="28"/>
          <w:u w:val="single"/>
        </w:rPr>
        <w:t>Why 30 as the cut off age</w:t>
      </w:r>
    </w:p>
    <w:p w14:paraId="7AA37F40" w14:textId="3756D5B2" w:rsidR="00E30F8F" w:rsidRPr="00586CEB" w:rsidRDefault="00586CEB" w:rsidP="00586CEB">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Gosselin – </w:t>
      </w:r>
      <w:r w:rsidR="000D6A53" w:rsidRPr="00586CEB">
        <w:rPr>
          <w:rFonts w:ascii="Times New Roman" w:eastAsia="Times New Roman" w:hAnsi="Times New Roman" w:cs="Times New Roman"/>
          <w:color w:val="FF0000"/>
          <w:sz w:val="28"/>
          <w:szCs w:val="28"/>
        </w:rPr>
        <w:t xml:space="preserve">There are often cut offs based on age for administrative efficiency and the organization of society </w:t>
      </w:r>
      <w:r w:rsidRPr="00586CEB">
        <w:sym w:font="Wingdings" w:char="F0E0"/>
      </w:r>
      <w:r w:rsidRPr="00586CEB">
        <w:rPr>
          <w:rFonts w:ascii="Times New Roman" w:eastAsia="Times New Roman" w:hAnsi="Times New Roman" w:cs="Times New Roman"/>
          <w:color w:val="FF0000"/>
          <w:sz w:val="28"/>
          <w:szCs w:val="28"/>
        </w:rPr>
        <w:t xml:space="preserve"> a</w:t>
      </w:r>
      <w:r w:rsidR="00E30F8F" w:rsidRPr="00586CEB">
        <w:rPr>
          <w:rFonts w:ascii="Times New Roman" w:eastAsia="Times New Roman" w:hAnsi="Times New Roman" w:cs="Times New Roman"/>
          <w:color w:val="FF0000"/>
          <w:sz w:val="28"/>
          <w:szCs w:val="28"/>
        </w:rPr>
        <w:t>ll age-based legislative distinctions have an element of this literal kind of “arbitrariness”</w:t>
      </w:r>
    </w:p>
    <w:p w14:paraId="0B9CD460" w14:textId="607191BF" w:rsidR="00E30F8F" w:rsidRPr="00586CEB" w:rsidRDefault="00E30F8F" w:rsidP="00586CE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Provided the age chosen is reasonably related to the legislative goal, the fact that some might prefer a different age — perhaps 29 </w:t>
      </w:r>
      <w:r w:rsidR="00586CEB" w:rsidRPr="00586CEB">
        <w:rPr>
          <w:rFonts w:ascii="Times New Roman" w:eastAsia="Times New Roman" w:hAnsi="Times New Roman" w:cs="Times New Roman"/>
          <w:color w:val="FF0000"/>
          <w:sz w:val="28"/>
          <w:szCs w:val="28"/>
        </w:rPr>
        <w:t>or</w:t>
      </w:r>
      <w:r w:rsidRPr="00586CEB">
        <w:rPr>
          <w:rFonts w:ascii="Times New Roman" w:eastAsia="Times New Roman" w:hAnsi="Times New Roman" w:cs="Times New Roman"/>
          <w:color w:val="FF0000"/>
          <w:sz w:val="28"/>
          <w:szCs w:val="28"/>
        </w:rPr>
        <w:t xml:space="preserve"> 31— does not indicate a lack of sufficient correlation between the distinction and actual needs and circumstances.  </w:t>
      </w:r>
    </w:p>
    <w:p w14:paraId="546613CA" w14:textId="568ED93F" w:rsidR="00E30F8F" w:rsidRPr="00586CEB" w:rsidRDefault="00E30F8F" w:rsidP="00586CEB">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There is no evidence here that a different cut-off age would have been preferable to the one selected.</w:t>
      </w:r>
    </w:p>
    <w:p w14:paraId="273D39CD" w14:textId="5D28327F" w:rsidR="000D6A53" w:rsidRPr="00586CEB" w:rsidRDefault="00586CEB" w:rsidP="00586CE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The 30-year-old age cu</w:t>
      </w:r>
      <w:r w:rsidR="000D6A53" w:rsidRPr="00586CEB">
        <w:rPr>
          <w:rFonts w:ascii="Times New Roman" w:eastAsia="Times New Roman" w:hAnsi="Times New Roman" w:cs="Times New Roman"/>
          <w:color w:val="FF0000"/>
          <w:sz w:val="28"/>
          <w:szCs w:val="28"/>
        </w:rPr>
        <w:t>t</w:t>
      </w:r>
      <w:r w:rsidRPr="00586CEB">
        <w:rPr>
          <w:rFonts w:ascii="Times New Roman" w:eastAsia="Times New Roman" w:hAnsi="Times New Roman" w:cs="Times New Roman"/>
          <w:color w:val="FF0000"/>
          <w:sz w:val="28"/>
          <w:szCs w:val="28"/>
        </w:rPr>
        <w:t xml:space="preserve"> off</w:t>
      </w:r>
      <w:r w:rsidR="000D6A53" w:rsidRPr="00586CEB">
        <w:rPr>
          <w:rFonts w:ascii="Times New Roman" w:eastAsia="Times New Roman" w:hAnsi="Times New Roman" w:cs="Times New Roman"/>
          <w:color w:val="FF0000"/>
          <w:sz w:val="28"/>
          <w:szCs w:val="28"/>
        </w:rPr>
        <w:t xml:space="preserve"> is related to the government</w:t>
      </w:r>
      <w:r w:rsidRPr="00586CEB">
        <w:rPr>
          <w:rFonts w:ascii="Times New Roman" w:eastAsia="Times New Roman" w:hAnsi="Times New Roman" w:cs="Times New Roman"/>
          <w:color w:val="FF0000"/>
          <w:sz w:val="28"/>
          <w:szCs w:val="28"/>
        </w:rPr>
        <w:t xml:space="preserve">’s legislative objectives </w:t>
      </w:r>
      <w:r w:rsidR="000D6A53" w:rsidRPr="00586CEB">
        <w:rPr>
          <w:rFonts w:ascii="Times New Roman" w:eastAsia="Times New Roman" w:hAnsi="Times New Roman" w:cs="Times New Roman"/>
          <w:color w:val="FF0000"/>
          <w:sz w:val="28"/>
          <w:szCs w:val="28"/>
        </w:rPr>
        <w:t xml:space="preserve">by ensuring that those most in need of benefits </w:t>
      </w:r>
      <w:proofErr w:type="gramStart"/>
      <w:r w:rsidR="000D6A53" w:rsidRPr="00586CEB">
        <w:rPr>
          <w:rFonts w:ascii="Times New Roman" w:eastAsia="Times New Roman" w:hAnsi="Times New Roman" w:cs="Times New Roman"/>
          <w:color w:val="FF0000"/>
          <w:sz w:val="28"/>
          <w:szCs w:val="28"/>
        </w:rPr>
        <w:t>are able to</w:t>
      </w:r>
      <w:proofErr w:type="gramEnd"/>
      <w:r w:rsidR="000D6A53" w:rsidRPr="00586CEB">
        <w:rPr>
          <w:rFonts w:ascii="Times New Roman" w:eastAsia="Times New Roman" w:hAnsi="Times New Roman" w:cs="Times New Roman"/>
          <w:color w:val="FF0000"/>
          <w:sz w:val="28"/>
          <w:szCs w:val="28"/>
        </w:rPr>
        <w:t xml:space="preserve"> access them and that those under 30, who suffer from persistent povert</w:t>
      </w:r>
      <w:r w:rsidRPr="00586CEB">
        <w:rPr>
          <w:rFonts w:ascii="Times New Roman" w:eastAsia="Times New Roman" w:hAnsi="Times New Roman" w:cs="Times New Roman"/>
          <w:color w:val="FF0000"/>
          <w:sz w:val="28"/>
          <w:szCs w:val="28"/>
        </w:rPr>
        <w:t xml:space="preserve">y and high </w:t>
      </w:r>
      <w:r w:rsidR="000D6A53" w:rsidRPr="00586CEB">
        <w:rPr>
          <w:rFonts w:ascii="Times New Roman" w:eastAsia="Times New Roman" w:hAnsi="Times New Roman" w:cs="Times New Roman"/>
          <w:color w:val="FF0000"/>
          <w:sz w:val="28"/>
          <w:szCs w:val="28"/>
        </w:rPr>
        <w:t xml:space="preserve">unemployment </w:t>
      </w:r>
      <w:r w:rsidRPr="00586CEB">
        <w:rPr>
          <w:rFonts w:ascii="Times New Roman" w:eastAsia="Times New Roman" w:hAnsi="Times New Roman" w:cs="Times New Roman"/>
          <w:color w:val="FF0000"/>
          <w:sz w:val="28"/>
          <w:szCs w:val="28"/>
        </w:rPr>
        <w:t xml:space="preserve">rates while </w:t>
      </w:r>
      <w:r w:rsidR="000D6A53" w:rsidRPr="00586CEB">
        <w:rPr>
          <w:rFonts w:ascii="Times New Roman" w:eastAsia="Times New Roman" w:hAnsi="Times New Roman" w:cs="Times New Roman"/>
          <w:color w:val="FF0000"/>
          <w:sz w:val="28"/>
          <w:szCs w:val="28"/>
        </w:rPr>
        <w:t>a key demographic for promoting long-term economic growth in the region</w:t>
      </w:r>
    </w:p>
    <w:p w14:paraId="42C90389" w14:textId="77777777" w:rsidR="00586CEB" w:rsidRPr="00586CEB" w:rsidRDefault="00586CEB" w:rsidP="00586CEB">
      <w:pPr>
        <w:spacing w:line="240" w:lineRule="auto"/>
        <w:jc w:val="both"/>
        <w:rPr>
          <w:rFonts w:ascii="Times New Roman" w:eastAsia="Times New Roman" w:hAnsi="Times New Roman" w:cs="Times New Roman"/>
          <w:color w:val="FF0000"/>
          <w:sz w:val="28"/>
          <w:szCs w:val="28"/>
        </w:rPr>
      </w:pPr>
    </w:p>
    <w:p w14:paraId="2963493D" w14:textId="15CA0442" w:rsidR="000D6A53" w:rsidRPr="00586CEB" w:rsidRDefault="000D6A53" w:rsidP="00586CEB">
      <w:pPr>
        <w:spacing w:line="240" w:lineRule="auto"/>
        <w:jc w:val="center"/>
        <w:rPr>
          <w:rFonts w:ascii="Times New Roman" w:eastAsia="Times New Roman" w:hAnsi="Times New Roman" w:cs="Times New Roman"/>
          <w:color w:val="FF0000"/>
          <w:sz w:val="28"/>
          <w:szCs w:val="28"/>
          <w:u w:val="single"/>
        </w:rPr>
      </w:pPr>
      <w:r w:rsidRPr="00586CEB">
        <w:rPr>
          <w:rFonts w:ascii="Times New Roman" w:eastAsia="Times New Roman" w:hAnsi="Times New Roman" w:cs="Times New Roman"/>
          <w:color w:val="FF0000"/>
          <w:sz w:val="28"/>
          <w:szCs w:val="28"/>
          <w:u w:val="single"/>
        </w:rPr>
        <w:t>Not enough training programs</w:t>
      </w:r>
    </w:p>
    <w:p w14:paraId="6911F162" w14:textId="68C6147E" w:rsidR="000D6A53" w:rsidRPr="00586CEB" w:rsidRDefault="00586CEB" w:rsidP="00586CEB">
      <w:pPr>
        <w:spacing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w:t>
      </w:r>
      <w:r w:rsidR="00523986" w:rsidRPr="00586CEB">
        <w:rPr>
          <w:rFonts w:ascii="Times New Roman" w:eastAsia="Times New Roman" w:hAnsi="Times New Roman" w:cs="Times New Roman"/>
          <w:color w:val="FF0000"/>
          <w:sz w:val="28"/>
          <w:szCs w:val="28"/>
        </w:rPr>
        <w:t xml:space="preserve">he government is looking to develop its own job training and education programs in the future </w:t>
      </w:r>
      <w:r>
        <w:rPr>
          <w:rFonts w:ascii="Times New Roman" w:eastAsia="Times New Roman" w:hAnsi="Times New Roman" w:cs="Times New Roman"/>
          <w:color w:val="FF0000"/>
          <w:sz w:val="28"/>
          <w:szCs w:val="28"/>
        </w:rPr>
        <w:t xml:space="preserve">and is </w:t>
      </w:r>
      <w:r w:rsidR="000D6A53" w:rsidRPr="00586CEB">
        <w:rPr>
          <w:rFonts w:ascii="Times New Roman" w:eastAsia="Times New Roman" w:hAnsi="Times New Roman" w:cs="Times New Roman"/>
          <w:color w:val="FF0000"/>
          <w:sz w:val="28"/>
          <w:szCs w:val="28"/>
        </w:rPr>
        <w:t xml:space="preserve">listening to the needs of those in the community </w:t>
      </w:r>
    </w:p>
    <w:p w14:paraId="5B44B568" w14:textId="6D4C8086" w:rsidR="000D6A53" w:rsidRPr="00586CEB" w:rsidRDefault="000D6A53" w:rsidP="00586CE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Many have voluntarily withdrawn from the </w:t>
      </w:r>
      <w:proofErr w:type="gramStart"/>
      <w:r w:rsidRPr="00586CEB">
        <w:rPr>
          <w:rFonts w:ascii="Times New Roman" w:eastAsia="Times New Roman" w:hAnsi="Times New Roman" w:cs="Times New Roman"/>
          <w:color w:val="FF0000"/>
          <w:sz w:val="28"/>
          <w:szCs w:val="28"/>
        </w:rPr>
        <w:t>program</w:t>
      </w:r>
      <w:proofErr w:type="gramEnd"/>
      <w:r w:rsidRPr="00586CEB">
        <w:rPr>
          <w:rFonts w:ascii="Times New Roman" w:eastAsia="Times New Roman" w:hAnsi="Times New Roman" w:cs="Times New Roman"/>
          <w:color w:val="FF0000"/>
          <w:sz w:val="28"/>
          <w:szCs w:val="28"/>
        </w:rPr>
        <w:t xml:space="preserve"> and it </w:t>
      </w:r>
      <w:r w:rsidR="00586CEB">
        <w:rPr>
          <w:rFonts w:ascii="Times New Roman" w:eastAsia="Times New Roman" w:hAnsi="Times New Roman" w:cs="Times New Roman"/>
          <w:color w:val="FF0000"/>
          <w:sz w:val="28"/>
          <w:szCs w:val="28"/>
        </w:rPr>
        <w:t>is</w:t>
      </w:r>
      <w:r w:rsidRPr="00586CEB">
        <w:rPr>
          <w:rFonts w:ascii="Times New Roman" w:eastAsia="Times New Roman" w:hAnsi="Times New Roman" w:cs="Times New Roman"/>
          <w:color w:val="FF0000"/>
          <w:sz w:val="28"/>
          <w:szCs w:val="28"/>
        </w:rPr>
        <w:t xml:space="preserve"> unclear why at this stage but given that they are making these programs upon recommendation of and demands of the community, it seems </w:t>
      </w:r>
      <w:proofErr w:type="gramStart"/>
      <w:r w:rsidRPr="00586CEB">
        <w:rPr>
          <w:rFonts w:ascii="Times New Roman" w:eastAsia="Times New Roman" w:hAnsi="Times New Roman" w:cs="Times New Roman"/>
          <w:color w:val="FF0000"/>
          <w:sz w:val="28"/>
          <w:szCs w:val="28"/>
        </w:rPr>
        <w:t>that as a whole, these</w:t>
      </w:r>
      <w:proofErr w:type="gramEnd"/>
      <w:r w:rsidRPr="00586CEB">
        <w:rPr>
          <w:rFonts w:ascii="Times New Roman" w:eastAsia="Times New Roman" w:hAnsi="Times New Roman" w:cs="Times New Roman"/>
          <w:color w:val="FF0000"/>
          <w:sz w:val="28"/>
          <w:szCs w:val="28"/>
        </w:rPr>
        <w:t xml:space="preserve"> programs would still be responding to the needs and circumstances of this group  </w:t>
      </w:r>
    </w:p>
    <w:p w14:paraId="00000018" w14:textId="77777777" w:rsidR="00934474" w:rsidRPr="00586CEB" w:rsidRDefault="00934474">
      <w:pPr>
        <w:spacing w:line="240" w:lineRule="auto"/>
        <w:jc w:val="both"/>
        <w:rPr>
          <w:rFonts w:ascii="Times New Roman" w:eastAsia="Times New Roman" w:hAnsi="Times New Roman" w:cs="Times New Roman"/>
          <w:sz w:val="28"/>
          <w:szCs w:val="28"/>
        </w:rPr>
      </w:pPr>
    </w:p>
    <w:p w14:paraId="00000019" w14:textId="7E31A388" w:rsidR="00934474" w:rsidRPr="00586CEB" w:rsidRDefault="00000000">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Third,</w:t>
      </w:r>
      <w:r w:rsidR="000D6A53" w:rsidRPr="00586CEB">
        <w:rPr>
          <w:rFonts w:ascii="Times New Roman" w:eastAsia="Times New Roman" w:hAnsi="Times New Roman" w:cs="Times New Roman"/>
          <w:sz w:val="28"/>
          <w:szCs w:val="28"/>
        </w:rPr>
        <w:t xml:space="preserve"> at paragraph 56 of the Respondent factum,</w:t>
      </w:r>
      <w:r w:rsidRPr="00586CEB">
        <w:rPr>
          <w:rFonts w:ascii="Times New Roman" w:eastAsia="Times New Roman" w:hAnsi="Times New Roman" w:cs="Times New Roman"/>
          <w:sz w:val="28"/>
          <w:szCs w:val="28"/>
        </w:rPr>
        <w:t xml:space="preserve"> we urge the Court to uphold the decision in </w:t>
      </w:r>
      <w:r w:rsidRPr="00586CEB">
        <w:rPr>
          <w:rFonts w:ascii="Times New Roman" w:eastAsia="Times New Roman" w:hAnsi="Times New Roman" w:cs="Times New Roman"/>
          <w:i/>
          <w:sz w:val="28"/>
          <w:szCs w:val="28"/>
        </w:rPr>
        <w:t>Sharma</w:t>
      </w:r>
      <w:r w:rsidR="0090633D" w:rsidRPr="00586CEB">
        <w:rPr>
          <w:rFonts w:ascii="Times New Roman" w:eastAsia="Times New Roman" w:hAnsi="Times New Roman" w:cs="Times New Roman"/>
          <w:sz w:val="28"/>
          <w:szCs w:val="28"/>
        </w:rPr>
        <w:t xml:space="preserve">. </w:t>
      </w:r>
      <w:r w:rsidR="00657B06" w:rsidRPr="00586CEB">
        <w:rPr>
          <w:rFonts w:ascii="Times New Roman" w:eastAsia="Times New Roman" w:hAnsi="Times New Roman" w:cs="Times New Roman"/>
          <w:sz w:val="28"/>
          <w:szCs w:val="28"/>
        </w:rPr>
        <w:t xml:space="preserve">Citing </w:t>
      </w:r>
      <w:r w:rsidR="00657B06" w:rsidRPr="00586CEB">
        <w:rPr>
          <w:rFonts w:ascii="Times New Roman" w:eastAsia="Times New Roman" w:hAnsi="Times New Roman" w:cs="Times New Roman"/>
          <w:i/>
          <w:iCs/>
          <w:sz w:val="28"/>
          <w:szCs w:val="28"/>
        </w:rPr>
        <w:t>Alliance</w:t>
      </w:r>
      <w:r w:rsidR="00657B06" w:rsidRPr="00586CEB">
        <w:rPr>
          <w:rFonts w:ascii="Times New Roman" w:eastAsia="Times New Roman" w:hAnsi="Times New Roman" w:cs="Times New Roman"/>
          <w:sz w:val="28"/>
          <w:szCs w:val="28"/>
        </w:rPr>
        <w:t xml:space="preserve">, the court in Sharma </w:t>
      </w:r>
      <w:r w:rsidR="0090633D" w:rsidRPr="00586CEB">
        <w:rPr>
          <w:rFonts w:ascii="Times New Roman" w:eastAsia="Times New Roman" w:hAnsi="Times New Roman" w:cs="Times New Roman"/>
          <w:sz w:val="28"/>
          <w:szCs w:val="28"/>
        </w:rPr>
        <w:t>held</w:t>
      </w:r>
      <w:r w:rsidR="00657B06" w:rsidRPr="00586CEB">
        <w:rPr>
          <w:rFonts w:ascii="Times New Roman" w:eastAsia="Times New Roman" w:hAnsi="Times New Roman" w:cs="Times New Roman"/>
          <w:sz w:val="28"/>
          <w:szCs w:val="28"/>
        </w:rPr>
        <w:t xml:space="preserve"> that </w:t>
      </w:r>
      <w:r w:rsidR="006D53B7" w:rsidRPr="00586CEB">
        <w:rPr>
          <w:rFonts w:ascii="Times New Roman" w:eastAsia="Times New Roman" w:hAnsi="Times New Roman" w:cs="Times New Roman"/>
          <w:sz w:val="28"/>
          <w:szCs w:val="28"/>
        </w:rPr>
        <w:t xml:space="preserve">where an impugned provision is part of a broader legislative scheme, the broader scheme must be accounted for. This involves considering the scheme’s objectives, resource allocation, and particular policy goal. The court further held that </w:t>
      </w:r>
      <w:r w:rsidR="00657B06" w:rsidRPr="00586CEB">
        <w:rPr>
          <w:rFonts w:ascii="Times New Roman" w:eastAsia="Times New Roman" w:hAnsi="Times New Roman" w:cs="Times New Roman"/>
          <w:sz w:val="28"/>
          <w:szCs w:val="28"/>
        </w:rPr>
        <w:t xml:space="preserve">the state </w:t>
      </w:r>
      <w:r w:rsidR="002C73EB" w:rsidRPr="00586CEB">
        <w:rPr>
          <w:rFonts w:ascii="Times New Roman" w:eastAsia="Times New Roman" w:hAnsi="Times New Roman" w:cs="Times New Roman"/>
          <w:sz w:val="28"/>
          <w:szCs w:val="28"/>
        </w:rPr>
        <w:t>does not have</w:t>
      </w:r>
      <w:r w:rsidR="00657B06" w:rsidRPr="00586CEB">
        <w:rPr>
          <w:rFonts w:ascii="Times New Roman" w:eastAsia="Times New Roman" w:hAnsi="Times New Roman" w:cs="Times New Roman"/>
          <w:sz w:val="28"/>
          <w:szCs w:val="28"/>
        </w:rPr>
        <w:t xml:space="preserve"> a freestanding positive obligation</w:t>
      </w:r>
      <w:r w:rsidR="002C73EB" w:rsidRPr="00586CEB">
        <w:rPr>
          <w:rFonts w:ascii="Times New Roman" w:eastAsia="Times New Roman" w:hAnsi="Times New Roman" w:cs="Times New Roman"/>
          <w:sz w:val="28"/>
          <w:szCs w:val="28"/>
        </w:rPr>
        <w:t xml:space="preserve"> to</w:t>
      </w:r>
      <w:r w:rsidR="00657B06" w:rsidRPr="00586CEB">
        <w:rPr>
          <w:rFonts w:ascii="Times New Roman" w:eastAsia="Times New Roman" w:hAnsi="Times New Roman" w:cs="Times New Roman"/>
          <w:sz w:val="28"/>
          <w:szCs w:val="28"/>
        </w:rPr>
        <w:t xml:space="preserve"> enact benefit schemes to redress social inequalities and that when they </w:t>
      </w:r>
      <w:r w:rsidR="002C73EB" w:rsidRPr="00586CEB">
        <w:rPr>
          <w:rFonts w:ascii="Times New Roman" w:eastAsia="Times New Roman" w:hAnsi="Times New Roman" w:cs="Times New Roman"/>
          <w:sz w:val="28"/>
          <w:szCs w:val="28"/>
        </w:rPr>
        <w:t>do</w:t>
      </w:r>
      <w:r w:rsidR="00657B06" w:rsidRPr="00586CEB">
        <w:rPr>
          <w:rFonts w:ascii="Times New Roman" w:eastAsia="Times New Roman" w:hAnsi="Times New Roman" w:cs="Times New Roman"/>
          <w:sz w:val="28"/>
          <w:szCs w:val="28"/>
        </w:rPr>
        <w:t xml:space="preserve"> legislate to address these inequalities, they may do so incrementally</w:t>
      </w:r>
      <w:r w:rsidR="000D6A53" w:rsidRPr="00586CEB">
        <w:rPr>
          <w:rFonts w:ascii="Times New Roman" w:eastAsia="Times New Roman" w:hAnsi="Times New Roman" w:cs="Times New Roman"/>
          <w:sz w:val="28"/>
          <w:szCs w:val="28"/>
        </w:rPr>
        <w:t xml:space="preserve"> (RF at 56)</w:t>
      </w:r>
      <w:r w:rsidR="00657B06" w:rsidRPr="00586CEB">
        <w:rPr>
          <w:rFonts w:ascii="Times New Roman" w:eastAsia="Times New Roman" w:hAnsi="Times New Roman" w:cs="Times New Roman"/>
          <w:sz w:val="28"/>
          <w:szCs w:val="28"/>
        </w:rPr>
        <w:t xml:space="preserve">. </w:t>
      </w:r>
      <w:r w:rsidRPr="00586CEB">
        <w:rPr>
          <w:rFonts w:ascii="Times New Roman" w:eastAsia="Times New Roman" w:hAnsi="Times New Roman" w:cs="Times New Roman"/>
          <w:sz w:val="28"/>
          <w:szCs w:val="28"/>
        </w:rPr>
        <w:t>The Ministry’s decisions regarding funding and eligibility requirements for the GNOA are within its legislative authority</w:t>
      </w:r>
      <w:r w:rsidR="000D6A53" w:rsidRPr="00586CEB">
        <w:rPr>
          <w:rFonts w:ascii="Times New Roman" w:eastAsia="Times New Roman" w:hAnsi="Times New Roman" w:cs="Times New Roman"/>
          <w:sz w:val="28"/>
          <w:szCs w:val="28"/>
        </w:rPr>
        <w:t xml:space="preserve"> (RF at 57)</w:t>
      </w:r>
      <w:r w:rsidRPr="00586CEB">
        <w:rPr>
          <w:rFonts w:ascii="Times New Roman" w:eastAsia="Times New Roman" w:hAnsi="Times New Roman" w:cs="Times New Roman"/>
          <w:sz w:val="28"/>
          <w:szCs w:val="28"/>
        </w:rPr>
        <w:t xml:space="preserve">. </w:t>
      </w:r>
      <w:r w:rsidR="00657B06" w:rsidRPr="00586CEB">
        <w:rPr>
          <w:rFonts w:ascii="Times New Roman" w:eastAsia="Times New Roman" w:hAnsi="Times New Roman" w:cs="Times New Roman"/>
          <w:sz w:val="28"/>
          <w:szCs w:val="28"/>
        </w:rPr>
        <w:t>Given that t</w:t>
      </w:r>
      <w:r w:rsidRPr="00586CEB">
        <w:rPr>
          <w:rFonts w:ascii="Times New Roman" w:eastAsia="Times New Roman" w:hAnsi="Times New Roman" w:cs="Times New Roman"/>
          <w:sz w:val="28"/>
          <w:szCs w:val="28"/>
        </w:rPr>
        <w:t>he GNOA aims to promote long-term economic growth, provide needs-based financial assistance, and foster self-sufficiency among residents under 30, the Ministry</w:t>
      </w:r>
      <w:r w:rsidR="00657B06" w:rsidRPr="00586CEB">
        <w:rPr>
          <w:rFonts w:ascii="Times New Roman" w:eastAsia="Times New Roman" w:hAnsi="Times New Roman" w:cs="Times New Roman"/>
          <w:sz w:val="28"/>
          <w:szCs w:val="28"/>
        </w:rPr>
        <w:t xml:space="preserve"> is within their rights to make</w:t>
      </w:r>
      <w:r w:rsidRPr="00586CEB">
        <w:rPr>
          <w:rFonts w:ascii="Times New Roman" w:eastAsia="Times New Roman" w:hAnsi="Times New Roman" w:cs="Times New Roman"/>
          <w:sz w:val="28"/>
          <w:szCs w:val="28"/>
        </w:rPr>
        <w:t xml:space="preserve"> eligibility for benefits conditional upon participation in government-approved skills development programs</w:t>
      </w:r>
      <w:r w:rsidR="000D6A53" w:rsidRPr="00586CEB">
        <w:rPr>
          <w:rFonts w:ascii="Times New Roman" w:eastAsia="Times New Roman" w:hAnsi="Times New Roman" w:cs="Times New Roman"/>
          <w:sz w:val="28"/>
          <w:szCs w:val="28"/>
        </w:rPr>
        <w:t xml:space="preserve"> (RF at 58)</w:t>
      </w:r>
      <w:r w:rsidRPr="00586CEB">
        <w:rPr>
          <w:rFonts w:ascii="Times New Roman" w:eastAsia="Times New Roman" w:hAnsi="Times New Roman" w:cs="Times New Roman"/>
          <w:sz w:val="28"/>
          <w:szCs w:val="28"/>
        </w:rPr>
        <w:t xml:space="preserve">. </w:t>
      </w:r>
      <w:r w:rsidR="00360731" w:rsidRPr="00586CEB">
        <w:rPr>
          <w:rFonts w:ascii="Times New Roman" w:eastAsia="Times New Roman" w:hAnsi="Times New Roman" w:cs="Times New Roman"/>
          <w:sz w:val="28"/>
          <w:szCs w:val="28"/>
        </w:rPr>
        <w:t>These incremental changes in resource allocation are better serving the long-term goals of this legislation by prioritizing long-term solutions to invest in infrastructure and job creation</w:t>
      </w:r>
      <w:r w:rsidR="000D6A53" w:rsidRPr="00586CEB">
        <w:rPr>
          <w:rFonts w:ascii="Times New Roman" w:eastAsia="Times New Roman" w:hAnsi="Times New Roman" w:cs="Times New Roman"/>
          <w:sz w:val="28"/>
          <w:szCs w:val="28"/>
        </w:rPr>
        <w:t xml:space="preserve"> to</w:t>
      </w:r>
      <w:r w:rsidR="00360731" w:rsidRPr="00586CEB">
        <w:rPr>
          <w:rFonts w:ascii="Times New Roman" w:eastAsia="Times New Roman" w:hAnsi="Times New Roman" w:cs="Times New Roman"/>
          <w:sz w:val="28"/>
          <w:szCs w:val="28"/>
        </w:rPr>
        <w:t xml:space="preserve"> overcome the stagnant </w:t>
      </w:r>
      <w:r w:rsidR="000D6A53" w:rsidRPr="00586CEB">
        <w:rPr>
          <w:rFonts w:ascii="Times New Roman" w:eastAsia="Times New Roman" w:hAnsi="Times New Roman" w:cs="Times New Roman"/>
          <w:sz w:val="28"/>
          <w:szCs w:val="28"/>
        </w:rPr>
        <w:t xml:space="preserve">immobility and </w:t>
      </w:r>
      <w:r w:rsidR="00360731" w:rsidRPr="00586CEB">
        <w:rPr>
          <w:rFonts w:ascii="Times New Roman" w:eastAsia="Times New Roman" w:hAnsi="Times New Roman" w:cs="Times New Roman"/>
          <w:sz w:val="28"/>
          <w:szCs w:val="28"/>
        </w:rPr>
        <w:t xml:space="preserve">unemployment rates </w:t>
      </w:r>
      <w:r w:rsidR="000D6A53" w:rsidRPr="00586CEB">
        <w:rPr>
          <w:rFonts w:ascii="Times New Roman" w:eastAsia="Times New Roman" w:hAnsi="Times New Roman" w:cs="Times New Roman"/>
          <w:sz w:val="28"/>
          <w:szCs w:val="28"/>
        </w:rPr>
        <w:t>as well as addressing the problem of the</w:t>
      </w:r>
      <w:r w:rsidR="00360731" w:rsidRPr="00586CEB">
        <w:rPr>
          <w:rFonts w:ascii="Times New Roman" w:eastAsia="Times New Roman" w:hAnsi="Times New Roman" w:cs="Times New Roman"/>
          <w:sz w:val="28"/>
          <w:szCs w:val="28"/>
        </w:rPr>
        <w:t xml:space="preserve"> lack of well-paying jobs in the region</w:t>
      </w:r>
      <w:r w:rsidR="000D6A53" w:rsidRPr="00586CEB">
        <w:rPr>
          <w:rFonts w:ascii="Times New Roman" w:eastAsia="Times New Roman" w:hAnsi="Times New Roman" w:cs="Times New Roman"/>
          <w:sz w:val="28"/>
          <w:szCs w:val="28"/>
        </w:rPr>
        <w:t xml:space="preserve"> (RF at 58)</w:t>
      </w:r>
      <w:r w:rsidR="00360731" w:rsidRPr="00586CEB">
        <w:rPr>
          <w:rFonts w:ascii="Times New Roman" w:eastAsia="Times New Roman" w:hAnsi="Times New Roman" w:cs="Times New Roman"/>
          <w:sz w:val="28"/>
          <w:szCs w:val="28"/>
        </w:rPr>
        <w:t xml:space="preserve">. </w:t>
      </w:r>
      <w:r w:rsidRPr="00586CEB">
        <w:rPr>
          <w:rFonts w:ascii="Times New Roman" w:eastAsia="Times New Roman" w:hAnsi="Times New Roman" w:cs="Times New Roman"/>
          <w:sz w:val="28"/>
          <w:szCs w:val="28"/>
        </w:rPr>
        <w:t xml:space="preserve">The Appellant’s request to declare the New Regulations to be of no force and effect amounts to asking the Court to prioritize individual preferences over the government’s </w:t>
      </w:r>
      <w:r w:rsidR="000D6A53" w:rsidRPr="00586CEB">
        <w:rPr>
          <w:rFonts w:ascii="Times New Roman" w:eastAsia="Times New Roman" w:hAnsi="Times New Roman" w:cs="Times New Roman"/>
          <w:sz w:val="28"/>
          <w:szCs w:val="28"/>
        </w:rPr>
        <w:t xml:space="preserve">long-term </w:t>
      </w:r>
      <w:r w:rsidRPr="00586CEB">
        <w:rPr>
          <w:rFonts w:ascii="Times New Roman" w:eastAsia="Times New Roman" w:hAnsi="Times New Roman" w:cs="Times New Roman"/>
          <w:sz w:val="28"/>
          <w:szCs w:val="28"/>
        </w:rPr>
        <w:t>policy objectives</w:t>
      </w:r>
      <w:r w:rsidR="00657B06" w:rsidRPr="00586CEB">
        <w:rPr>
          <w:rFonts w:ascii="Times New Roman" w:eastAsia="Times New Roman" w:hAnsi="Times New Roman" w:cs="Times New Roman"/>
          <w:sz w:val="28"/>
          <w:szCs w:val="28"/>
        </w:rPr>
        <w:t xml:space="preserve"> to address high poverty and unemployment rates in </w:t>
      </w:r>
      <w:proofErr w:type="spellStart"/>
      <w:r w:rsidR="00657B06" w:rsidRPr="00586CEB">
        <w:rPr>
          <w:rFonts w:ascii="Times New Roman" w:eastAsia="Times New Roman" w:hAnsi="Times New Roman" w:cs="Times New Roman"/>
          <w:sz w:val="28"/>
          <w:szCs w:val="28"/>
        </w:rPr>
        <w:t>Northhaven</w:t>
      </w:r>
      <w:proofErr w:type="spellEnd"/>
      <w:r w:rsidR="000D6A53" w:rsidRPr="00586CEB">
        <w:rPr>
          <w:rFonts w:ascii="Times New Roman" w:eastAsia="Times New Roman" w:hAnsi="Times New Roman" w:cs="Times New Roman"/>
          <w:sz w:val="28"/>
          <w:szCs w:val="28"/>
        </w:rPr>
        <w:t xml:space="preserve"> (RF at 58)</w:t>
      </w:r>
      <w:r w:rsidRPr="00586CEB">
        <w:rPr>
          <w:rFonts w:ascii="Times New Roman" w:eastAsia="Times New Roman" w:hAnsi="Times New Roman" w:cs="Times New Roman"/>
          <w:sz w:val="28"/>
          <w:szCs w:val="28"/>
        </w:rPr>
        <w:t>.</w:t>
      </w:r>
    </w:p>
    <w:p w14:paraId="79523586" w14:textId="77777777" w:rsidR="00754835" w:rsidRPr="00586CEB" w:rsidRDefault="00754835">
      <w:pPr>
        <w:spacing w:line="240" w:lineRule="auto"/>
        <w:jc w:val="both"/>
        <w:rPr>
          <w:rFonts w:ascii="Times New Roman" w:eastAsia="Times New Roman" w:hAnsi="Times New Roman" w:cs="Times New Roman"/>
          <w:sz w:val="28"/>
          <w:szCs w:val="28"/>
        </w:rPr>
      </w:pPr>
    </w:p>
    <w:p w14:paraId="1C74B132" w14:textId="77777777" w:rsidR="00586CEB" w:rsidRDefault="00586CEB">
      <w:pPr>
        <w:spacing w:line="240" w:lineRule="auto"/>
        <w:jc w:val="both"/>
        <w:rPr>
          <w:rFonts w:ascii="Times New Roman" w:eastAsia="Times New Roman" w:hAnsi="Times New Roman" w:cs="Times New Roman"/>
          <w:color w:val="FF0000"/>
          <w:sz w:val="28"/>
          <w:szCs w:val="28"/>
        </w:rPr>
      </w:pPr>
    </w:p>
    <w:p w14:paraId="7DF62C48" w14:textId="77777777" w:rsidR="00586CEB" w:rsidRDefault="00586CEB">
      <w:pPr>
        <w:spacing w:line="240" w:lineRule="auto"/>
        <w:jc w:val="both"/>
        <w:rPr>
          <w:rFonts w:ascii="Times New Roman" w:eastAsia="Times New Roman" w:hAnsi="Times New Roman" w:cs="Times New Roman"/>
          <w:color w:val="FF0000"/>
          <w:sz w:val="28"/>
          <w:szCs w:val="28"/>
        </w:rPr>
      </w:pPr>
    </w:p>
    <w:p w14:paraId="729F5341" w14:textId="77777777" w:rsidR="00586CEB" w:rsidRDefault="00586CEB">
      <w:pPr>
        <w:spacing w:line="240" w:lineRule="auto"/>
        <w:jc w:val="both"/>
        <w:rPr>
          <w:rFonts w:ascii="Times New Roman" w:eastAsia="Times New Roman" w:hAnsi="Times New Roman" w:cs="Times New Roman"/>
          <w:color w:val="FF0000"/>
          <w:sz w:val="28"/>
          <w:szCs w:val="28"/>
        </w:rPr>
      </w:pPr>
    </w:p>
    <w:p w14:paraId="5C43F578" w14:textId="77777777" w:rsidR="00586CEB" w:rsidRDefault="00586CEB">
      <w:pPr>
        <w:spacing w:line="240" w:lineRule="auto"/>
        <w:jc w:val="both"/>
        <w:rPr>
          <w:rFonts w:ascii="Times New Roman" w:eastAsia="Times New Roman" w:hAnsi="Times New Roman" w:cs="Times New Roman"/>
          <w:color w:val="FF0000"/>
          <w:sz w:val="28"/>
          <w:szCs w:val="28"/>
        </w:rPr>
      </w:pPr>
    </w:p>
    <w:p w14:paraId="75C89CD7" w14:textId="77777777" w:rsidR="00586CEB" w:rsidRDefault="00586CEB">
      <w:pPr>
        <w:spacing w:line="240" w:lineRule="auto"/>
        <w:jc w:val="both"/>
        <w:rPr>
          <w:rFonts w:ascii="Times New Roman" w:eastAsia="Times New Roman" w:hAnsi="Times New Roman" w:cs="Times New Roman"/>
          <w:color w:val="FF0000"/>
          <w:sz w:val="28"/>
          <w:szCs w:val="28"/>
        </w:rPr>
      </w:pPr>
    </w:p>
    <w:p w14:paraId="2995E71B" w14:textId="77777777" w:rsidR="00586CEB" w:rsidRDefault="00586CEB">
      <w:pPr>
        <w:spacing w:line="240" w:lineRule="auto"/>
        <w:jc w:val="both"/>
        <w:rPr>
          <w:rFonts w:ascii="Times New Roman" w:eastAsia="Times New Roman" w:hAnsi="Times New Roman" w:cs="Times New Roman"/>
          <w:color w:val="FF0000"/>
          <w:sz w:val="28"/>
          <w:szCs w:val="28"/>
        </w:rPr>
      </w:pPr>
    </w:p>
    <w:p w14:paraId="1CF76851" w14:textId="77777777" w:rsidR="00586CEB" w:rsidRDefault="00586CEB">
      <w:pPr>
        <w:spacing w:line="240" w:lineRule="auto"/>
        <w:jc w:val="both"/>
        <w:rPr>
          <w:rFonts w:ascii="Times New Roman" w:eastAsia="Times New Roman" w:hAnsi="Times New Roman" w:cs="Times New Roman"/>
          <w:color w:val="FF0000"/>
          <w:sz w:val="28"/>
          <w:szCs w:val="28"/>
        </w:rPr>
      </w:pPr>
    </w:p>
    <w:p w14:paraId="227784C8" w14:textId="77777777" w:rsidR="00586CEB" w:rsidRDefault="00586CEB">
      <w:pPr>
        <w:spacing w:line="240" w:lineRule="auto"/>
        <w:jc w:val="both"/>
        <w:rPr>
          <w:rFonts w:ascii="Times New Roman" w:eastAsia="Times New Roman" w:hAnsi="Times New Roman" w:cs="Times New Roman"/>
          <w:color w:val="FF0000"/>
          <w:sz w:val="28"/>
          <w:szCs w:val="28"/>
        </w:rPr>
      </w:pPr>
    </w:p>
    <w:p w14:paraId="17878879" w14:textId="77777777" w:rsidR="00586CEB" w:rsidRDefault="00586CEB">
      <w:pPr>
        <w:spacing w:line="240" w:lineRule="auto"/>
        <w:jc w:val="both"/>
        <w:rPr>
          <w:rFonts w:ascii="Times New Roman" w:eastAsia="Times New Roman" w:hAnsi="Times New Roman" w:cs="Times New Roman"/>
          <w:color w:val="FF0000"/>
          <w:sz w:val="28"/>
          <w:szCs w:val="28"/>
        </w:rPr>
      </w:pPr>
    </w:p>
    <w:p w14:paraId="0DC5AEB3" w14:textId="77777777" w:rsidR="00586CEB" w:rsidRDefault="00586CEB">
      <w:pPr>
        <w:spacing w:line="240" w:lineRule="auto"/>
        <w:jc w:val="both"/>
        <w:rPr>
          <w:rFonts w:ascii="Times New Roman" w:eastAsia="Times New Roman" w:hAnsi="Times New Roman" w:cs="Times New Roman"/>
          <w:color w:val="FF0000"/>
          <w:sz w:val="28"/>
          <w:szCs w:val="28"/>
        </w:rPr>
      </w:pPr>
    </w:p>
    <w:p w14:paraId="6D194F5B" w14:textId="77777777" w:rsidR="00586CEB" w:rsidRDefault="00586CEB">
      <w:pPr>
        <w:spacing w:line="240" w:lineRule="auto"/>
        <w:jc w:val="both"/>
        <w:rPr>
          <w:rFonts w:ascii="Times New Roman" w:eastAsia="Times New Roman" w:hAnsi="Times New Roman" w:cs="Times New Roman"/>
          <w:color w:val="FF0000"/>
          <w:sz w:val="28"/>
          <w:szCs w:val="28"/>
        </w:rPr>
      </w:pPr>
    </w:p>
    <w:p w14:paraId="2FD4E959" w14:textId="77777777" w:rsidR="00586CEB" w:rsidRDefault="00586CEB">
      <w:pPr>
        <w:spacing w:line="240" w:lineRule="auto"/>
        <w:jc w:val="both"/>
        <w:rPr>
          <w:rFonts w:ascii="Times New Roman" w:eastAsia="Times New Roman" w:hAnsi="Times New Roman" w:cs="Times New Roman"/>
          <w:color w:val="FF0000"/>
          <w:sz w:val="28"/>
          <w:szCs w:val="28"/>
        </w:rPr>
      </w:pPr>
    </w:p>
    <w:p w14:paraId="6B0694BE" w14:textId="77777777" w:rsidR="00586CEB" w:rsidRDefault="00586CEB">
      <w:pPr>
        <w:spacing w:line="240" w:lineRule="auto"/>
        <w:jc w:val="both"/>
        <w:rPr>
          <w:rFonts w:ascii="Times New Roman" w:eastAsia="Times New Roman" w:hAnsi="Times New Roman" w:cs="Times New Roman"/>
          <w:color w:val="FF0000"/>
          <w:sz w:val="28"/>
          <w:szCs w:val="28"/>
        </w:rPr>
      </w:pPr>
    </w:p>
    <w:p w14:paraId="6CE755B7" w14:textId="77777777" w:rsidR="00586CEB" w:rsidRDefault="00586CEB">
      <w:pPr>
        <w:spacing w:line="240" w:lineRule="auto"/>
        <w:jc w:val="both"/>
        <w:rPr>
          <w:rFonts w:ascii="Times New Roman" w:eastAsia="Times New Roman" w:hAnsi="Times New Roman" w:cs="Times New Roman"/>
          <w:color w:val="FF0000"/>
          <w:sz w:val="28"/>
          <w:szCs w:val="28"/>
        </w:rPr>
      </w:pPr>
    </w:p>
    <w:p w14:paraId="2F1E85E0" w14:textId="77777777" w:rsidR="00586CEB" w:rsidRDefault="00586CEB">
      <w:pPr>
        <w:spacing w:line="240" w:lineRule="auto"/>
        <w:jc w:val="both"/>
        <w:rPr>
          <w:rFonts w:ascii="Times New Roman" w:eastAsia="Times New Roman" w:hAnsi="Times New Roman" w:cs="Times New Roman"/>
          <w:color w:val="FF0000"/>
          <w:sz w:val="28"/>
          <w:szCs w:val="28"/>
        </w:rPr>
      </w:pPr>
    </w:p>
    <w:p w14:paraId="1DDF367B" w14:textId="77777777" w:rsidR="00586CEB" w:rsidRDefault="00586CEB">
      <w:pPr>
        <w:spacing w:line="240" w:lineRule="auto"/>
        <w:jc w:val="both"/>
        <w:rPr>
          <w:rFonts w:ascii="Times New Roman" w:eastAsia="Times New Roman" w:hAnsi="Times New Roman" w:cs="Times New Roman"/>
          <w:color w:val="FF0000"/>
          <w:sz w:val="28"/>
          <w:szCs w:val="28"/>
        </w:rPr>
      </w:pPr>
    </w:p>
    <w:p w14:paraId="43AA3AE2" w14:textId="77777777" w:rsidR="002A75E2" w:rsidRDefault="002A75E2">
      <w:pPr>
        <w:spacing w:line="240" w:lineRule="auto"/>
        <w:jc w:val="both"/>
        <w:rPr>
          <w:rFonts w:ascii="Times New Roman" w:eastAsia="Times New Roman" w:hAnsi="Times New Roman" w:cs="Times New Roman"/>
          <w:color w:val="FF0000"/>
          <w:sz w:val="28"/>
          <w:szCs w:val="28"/>
        </w:rPr>
      </w:pPr>
    </w:p>
    <w:p w14:paraId="20BADD53" w14:textId="32FD8A2A" w:rsidR="00A66F94" w:rsidRPr="00586CEB" w:rsidRDefault="00A66F94">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lastRenderedPageBreak/>
        <w:t>Sharma facts</w:t>
      </w:r>
    </w:p>
    <w:p w14:paraId="77BEDF68" w14:textId="77777777" w:rsidR="005B0A0E" w:rsidRPr="00586CEB" w:rsidRDefault="005B0A0E" w:rsidP="005B0A0E">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Supreme Court upheld Criminal Code provisions barring conditional sentences for certain offences, ruling they did not violate Ms. Sharma’s Charter rights. </w:t>
      </w:r>
    </w:p>
    <w:p w14:paraId="5B502C13" w14:textId="77777777" w:rsidR="005B0A0E" w:rsidRPr="00586CEB" w:rsidRDefault="005B0A0E" w:rsidP="005B0A0E">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Sharma, an Indigenous woman and intergenerational residential school survivor, was convicted of drug importation but was ineligible for a conditional sentence despite the </w:t>
      </w:r>
      <w:proofErr w:type="spellStart"/>
      <w:r w:rsidRPr="00586CEB">
        <w:rPr>
          <w:rFonts w:ascii="Times New Roman" w:eastAsia="Times New Roman" w:hAnsi="Times New Roman" w:cs="Times New Roman"/>
          <w:color w:val="FF0000"/>
          <w:sz w:val="28"/>
          <w:szCs w:val="28"/>
        </w:rPr>
        <w:t>Gladue</w:t>
      </w:r>
      <w:proofErr w:type="spellEnd"/>
      <w:r w:rsidRPr="00586CEB">
        <w:rPr>
          <w:rFonts w:ascii="Times New Roman" w:eastAsia="Times New Roman" w:hAnsi="Times New Roman" w:cs="Times New Roman"/>
          <w:color w:val="FF0000"/>
          <w:sz w:val="28"/>
          <w:szCs w:val="28"/>
        </w:rPr>
        <w:t xml:space="preserve"> framework.</w:t>
      </w:r>
    </w:p>
    <w:p w14:paraId="02E250EB" w14:textId="770DC6CC" w:rsidR="005B0A0E" w:rsidRPr="00586CEB" w:rsidRDefault="0059455F" w:rsidP="005B0A0E">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Ultimately, Ms. Sharma failed to produce enough evidence which showed the legislation disproportionately impacts Indigenous offenders</w:t>
      </w:r>
      <w:r w:rsidR="005B0A0E" w:rsidRPr="00586CEB">
        <w:rPr>
          <w:rFonts w:ascii="Times New Roman" w:eastAsia="Times New Roman" w:hAnsi="Times New Roman" w:cs="Times New Roman"/>
          <w:color w:val="FF0000"/>
          <w:sz w:val="28"/>
          <w:szCs w:val="28"/>
        </w:rPr>
        <w:t xml:space="preserve"> </w:t>
      </w:r>
    </w:p>
    <w:p w14:paraId="741F0589" w14:textId="6E36B801" w:rsidR="005B0A0E" w:rsidRPr="00586CEB" w:rsidRDefault="005B0A0E" w:rsidP="005B0A0E">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t xml:space="preserve"> </w:t>
      </w:r>
    </w:p>
    <w:p w14:paraId="5CA6D7B0" w14:textId="77777777" w:rsidR="00586CEB" w:rsidRDefault="00586CEB">
      <w:pPr>
        <w:spacing w:line="240" w:lineRule="auto"/>
        <w:jc w:val="both"/>
        <w:rPr>
          <w:rFonts w:ascii="Times New Roman" w:eastAsia="Times New Roman" w:hAnsi="Times New Roman" w:cs="Times New Roman"/>
          <w:sz w:val="28"/>
          <w:szCs w:val="28"/>
        </w:rPr>
      </w:pPr>
    </w:p>
    <w:p w14:paraId="2282A679" w14:textId="77777777" w:rsidR="00586CEB" w:rsidRDefault="00586CEB">
      <w:pPr>
        <w:spacing w:line="240" w:lineRule="auto"/>
        <w:jc w:val="both"/>
        <w:rPr>
          <w:rFonts w:ascii="Times New Roman" w:eastAsia="Times New Roman" w:hAnsi="Times New Roman" w:cs="Times New Roman"/>
          <w:sz w:val="28"/>
          <w:szCs w:val="28"/>
        </w:rPr>
      </w:pPr>
    </w:p>
    <w:p w14:paraId="71058000" w14:textId="77777777" w:rsidR="00586CEB" w:rsidRDefault="00586CEB">
      <w:pPr>
        <w:spacing w:line="240" w:lineRule="auto"/>
        <w:jc w:val="both"/>
        <w:rPr>
          <w:rFonts w:ascii="Times New Roman" w:eastAsia="Times New Roman" w:hAnsi="Times New Roman" w:cs="Times New Roman"/>
          <w:sz w:val="28"/>
          <w:szCs w:val="28"/>
        </w:rPr>
      </w:pPr>
    </w:p>
    <w:p w14:paraId="28CD4601" w14:textId="77777777" w:rsidR="00586CEB" w:rsidRDefault="00586CEB">
      <w:pPr>
        <w:spacing w:line="240" w:lineRule="auto"/>
        <w:jc w:val="both"/>
        <w:rPr>
          <w:rFonts w:ascii="Times New Roman" w:eastAsia="Times New Roman" w:hAnsi="Times New Roman" w:cs="Times New Roman"/>
          <w:sz w:val="28"/>
          <w:szCs w:val="28"/>
        </w:rPr>
      </w:pPr>
    </w:p>
    <w:p w14:paraId="2BB05DB0" w14:textId="77777777" w:rsidR="00586CEB" w:rsidRDefault="00586CEB">
      <w:pPr>
        <w:spacing w:line="240" w:lineRule="auto"/>
        <w:jc w:val="both"/>
        <w:rPr>
          <w:rFonts w:ascii="Times New Roman" w:eastAsia="Times New Roman" w:hAnsi="Times New Roman" w:cs="Times New Roman"/>
          <w:sz w:val="28"/>
          <w:szCs w:val="28"/>
        </w:rPr>
      </w:pPr>
    </w:p>
    <w:p w14:paraId="2B90112E" w14:textId="77777777" w:rsidR="00586CEB" w:rsidRDefault="00586CEB">
      <w:pPr>
        <w:spacing w:line="240" w:lineRule="auto"/>
        <w:jc w:val="both"/>
        <w:rPr>
          <w:rFonts w:ascii="Times New Roman" w:eastAsia="Times New Roman" w:hAnsi="Times New Roman" w:cs="Times New Roman"/>
          <w:sz w:val="28"/>
          <w:szCs w:val="28"/>
        </w:rPr>
      </w:pPr>
    </w:p>
    <w:p w14:paraId="0FBA7920" w14:textId="77777777" w:rsidR="00586CEB" w:rsidRDefault="00586CEB">
      <w:pPr>
        <w:spacing w:line="240" w:lineRule="auto"/>
        <w:jc w:val="both"/>
        <w:rPr>
          <w:rFonts w:ascii="Times New Roman" w:eastAsia="Times New Roman" w:hAnsi="Times New Roman" w:cs="Times New Roman"/>
          <w:sz w:val="28"/>
          <w:szCs w:val="28"/>
        </w:rPr>
      </w:pPr>
    </w:p>
    <w:p w14:paraId="53AAEAA3" w14:textId="77777777" w:rsidR="00586CEB" w:rsidRDefault="00586CEB">
      <w:pPr>
        <w:spacing w:line="240" w:lineRule="auto"/>
        <w:jc w:val="both"/>
        <w:rPr>
          <w:rFonts w:ascii="Times New Roman" w:eastAsia="Times New Roman" w:hAnsi="Times New Roman" w:cs="Times New Roman"/>
          <w:sz w:val="28"/>
          <w:szCs w:val="28"/>
        </w:rPr>
      </w:pPr>
    </w:p>
    <w:p w14:paraId="756537C6" w14:textId="77777777" w:rsidR="00586CEB" w:rsidRDefault="00586CEB">
      <w:pPr>
        <w:spacing w:line="240" w:lineRule="auto"/>
        <w:jc w:val="both"/>
        <w:rPr>
          <w:rFonts w:ascii="Times New Roman" w:eastAsia="Times New Roman" w:hAnsi="Times New Roman" w:cs="Times New Roman"/>
          <w:sz w:val="28"/>
          <w:szCs w:val="28"/>
        </w:rPr>
      </w:pPr>
    </w:p>
    <w:p w14:paraId="3C282C61" w14:textId="77777777" w:rsidR="00586CEB" w:rsidRDefault="00586CEB">
      <w:pPr>
        <w:spacing w:line="240" w:lineRule="auto"/>
        <w:jc w:val="both"/>
        <w:rPr>
          <w:rFonts w:ascii="Times New Roman" w:eastAsia="Times New Roman" w:hAnsi="Times New Roman" w:cs="Times New Roman"/>
          <w:sz w:val="28"/>
          <w:szCs w:val="28"/>
        </w:rPr>
      </w:pPr>
    </w:p>
    <w:p w14:paraId="39E414A8" w14:textId="77777777" w:rsidR="00586CEB" w:rsidRDefault="00586CEB">
      <w:pPr>
        <w:spacing w:line="240" w:lineRule="auto"/>
        <w:jc w:val="both"/>
        <w:rPr>
          <w:rFonts w:ascii="Times New Roman" w:eastAsia="Times New Roman" w:hAnsi="Times New Roman" w:cs="Times New Roman"/>
          <w:sz w:val="28"/>
          <w:szCs w:val="28"/>
        </w:rPr>
      </w:pPr>
    </w:p>
    <w:p w14:paraId="60B1538F" w14:textId="77777777" w:rsidR="00586CEB" w:rsidRDefault="00586CEB">
      <w:pPr>
        <w:spacing w:line="240" w:lineRule="auto"/>
        <w:jc w:val="both"/>
        <w:rPr>
          <w:rFonts w:ascii="Times New Roman" w:eastAsia="Times New Roman" w:hAnsi="Times New Roman" w:cs="Times New Roman"/>
          <w:sz w:val="28"/>
          <w:szCs w:val="28"/>
        </w:rPr>
      </w:pPr>
    </w:p>
    <w:p w14:paraId="53F9DB65" w14:textId="77777777" w:rsidR="00586CEB" w:rsidRDefault="00586CEB">
      <w:pPr>
        <w:spacing w:line="240" w:lineRule="auto"/>
        <w:jc w:val="both"/>
        <w:rPr>
          <w:rFonts w:ascii="Times New Roman" w:eastAsia="Times New Roman" w:hAnsi="Times New Roman" w:cs="Times New Roman"/>
          <w:sz w:val="28"/>
          <w:szCs w:val="28"/>
        </w:rPr>
      </w:pPr>
    </w:p>
    <w:p w14:paraId="650E8368" w14:textId="77777777" w:rsidR="00586CEB" w:rsidRDefault="00586CEB">
      <w:pPr>
        <w:spacing w:line="240" w:lineRule="auto"/>
        <w:jc w:val="both"/>
        <w:rPr>
          <w:rFonts w:ascii="Times New Roman" w:eastAsia="Times New Roman" w:hAnsi="Times New Roman" w:cs="Times New Roman"/>
          <w:sz w:val="28"/>
          <w:szCs w:val="28"/>
        </w:rPr>
      </w:pPr>
    </w:p>
    <w:p w14:paraId="7B423A15" w14:textId="77777777" w:rsidR="00586CEB" w:rsidRDefault="00586CEB">
      <w:pPr>
        <w:spacing w:line="240" w:lineRule="auto"/>
        <w:jc w:val="both"/>
        <w:rPr>
          <w:rFonts w:ascii="Times New Roman" w:eastAsia="Times New Roman" w:hAnsi="Times New Roman" w:cs="Times New Roman"/>
          <w:sz w:val="28"/>
          <w:szCs w:val="28"/>
        </w:rPr>
      </w:pPr>
    </w:p>
    <w:p w14:paraId="46F7FC86" w14:textId="77777777" w:rsidR="00586CEB" w:rsidRDefault="00586CEB">
      <w:pPr>
        <w:spacing w:line="240" w:lineRule="auto"/>
        <w:jc w:val="both"/>
        <w:rPr>
          <w:rFonts w:ascii="Times New Roman" w:eastAsia="Times New Roman" w:hAnsi="Times New Roman" w:cs="Times New Roman"/>
          <w:sz w:val="28"/>
          <w:szCs w:val="28"/>
        </w:rPr>
      </w:pPr>
    </w:p>
    <w:p w14:paraId="2A267DC2" w14:textId="77777777" w:rsidR="00586CEB" w:rsidRDefault="00586CEB">
      <w:pPr>
        <w:spacing w:line="240" w:lineRule="auto"/>
        <w:jc w:val="both"/>
        <w:rPr>
          <w:rFonts w:ascii="Times New Roman" w:eastAsia="Times New Roman" w:hAnsi="Times New Roman" w:cs="Times New Roman"/>
          <w:sz w:val="28"/>
          <w:szCs w:val="28"/>
        </w:rPr>
      </w:pPr>
    </w:p>
    <w:p w14:paraId="768105BE" w14:textId="77777777" w:rsidR="00586CEB" w:rsidRDefault="00586CEB">
      <w:pPr>
        <w:spacing w:line="240" w:lineRule="auto"/>
        <w:jc w:val="both"/>
        <w:rPr>
          <w:rFonts w:ascii="Times New Roman" w:eastAsia="Times New Roman" w:hAnsi="Times New Roman" w:cs="Times New Roman"/>
          <w:sz w:val="28"/>
          <w:szCs w:val="28"/>
        </w:rPr>
      </w:pPr>
    </w:p>
    <w:p w14:paraId="280645A6" w14:textId="77777777" w:rsidR="00586CEB" w:rsidRDefault="00586CEB">
      <w:pPr>
        <w:spacing w:line="240" w:lineRule="auto"/>
        <w:jc w:val="both"/>
        <w:rPr>
          <w:rFonts w:ascii="Times New Roman" w:eastAsia="Times New Roman" w:hAnsi="Times New Roman" w:cs="Times New Roman"/>
          <w:sz w:val="28"/>
          <w:szCs w:val="28"/>
        </w:rPr>
      </w:pPr>
    </w:p>
    <w:p w14:paraId="18C1CD51" w14:textId="77777777" w:rsidR="00586CEB" w:rsidRDefault="00586CEB">
      <w:pPr>
        <w:spacing w:line="240" w:lineRule="auto"/>
        <w:jc w:val="both"/>
        <w:rPr>
          <w:rFonts w:ascii="Times New Roman" w:eastAsia="Times New Roman" w:hAnsi="Times New Roman" w:cs="Times New Roman"/>
          <w:sz w:val="28"/>
          <w:szCs w:val="28"/>
        </w:rPr>
      </w:pPr>
    </w:p>
    <w:p w14:paraId="1C11705B" w14:textId="77777777" w:rsidR="00586CEB" w:rsidRDefault="00586CEB">
      <w:pPr>
        <w:spacing w:line="240" w:lineRule="auto"/>
        <w:jc w:val="both"/>
        <w:rPr>
          <w:rFonts w:ascii="Times New Roman" w:eastAsia="Times New Roman" w:hAnsi="Times New Roman" w:cs="Times New Roman"/>
          <w:sz w:val="28"/>
          <w:szCs w:val="28"/>
        </w:rPr>
      </w:pPr>
    </w:p>
    <w:p w14:paraId="5AAE6FB3" w14:textId="77777777" w:rsidR="00586CEB" w:rsidRDefault="00586CEB">
      <w:pPr>
        <w:spacing w:line="240" w:lineRule="auto"/>
        <w:jc w:val="both"/>
        <w:rPr>
          <w:rFonts w:ascii="Times New Roman" w:eastAsia="Times New Roman" w:hAnsi="Times New Roman" w:cs="Times New Roman"/>
          <w:sz w:val="28"/>
          <w:szCs w:val="28"/>
        </w:rPr>
      </w:pPr>
    </w:p>
    <w:p w14:paraId="2BFE6BAB" w14:textId="77777777" w:rsidR="00586CEB" w:rsidRDefault="00586CEB">
      <w:pPr>
        <w:spacing w:line="240" w:lineRule="auto"/>
        <w:jc w:val="both"/>
        <w:rPr>
          <w:rFonts w:ascii="Times New Roman" w:eastAsia="Times New Roman" w:hAnsi="Times New Roman" w:cs="Times New Roman"/>
          <w:sz w:val="28"/>
          <w:szCs w:val="28"/>
        </w:rPr>
      </w:pPr>
    </w:p>
    <w:p w14:paraId="634A2262" w14:textId="77777777" w:rsidR="00586CEB" w:rsidRDefault="00586CEB">
      <w:pPr>
        <w:spacing w:line="240" w:lineRule="auto"/>
        <w:jc w:val="both"/>
        <w:rPr>
          <w:rFonts w:ascii="Times New Roman" w:eastAsia="Times New Roman" w:hAnsi="Times New Roman" w:cs="Times New Roman"/>
          <w:sz w:val="28"/>
          <w:szCs w:val="28"/>
        </w:rPr>
      </w:pPr>
    </w:p>
    <w:p w14:paraId="19756FB5" w14:textId="77777777" w:rsidR="00586CEB" w:rsidRDefault="00586CEB">
      <w:pPr>
        <w:spacing w:line="240" w:lineRule="auto"/>
        <w:jc w:val="both"/>
        <w:rPr>
          <w:rFonts w:ascii="Times New Roman" w:eastAsia="Times New Roman" w:hAnsi="Times New Roman" w:cs="Times New Roman"/>
          <w:sz w:val="28"/>
          <w:szCs w:val="28"/>
        </w:rPr>
      </w:pPr>
    </w:p>
    <w:p w14:paraId="64E96160" w14:textId="77777777" w:rsidR="00586CEB" w:rsidRDefault="00586CEB">
      <w:pPr>
        <w:spacing w:line="240" w:lineRule="auto"/>
        <w:jc w:val="both"/>
        <w:rPr>
          <w:rFonts w:ascii="Times New Roman" w:eastAsia="Times New Roman" w:hAnsi="Times New Roman" w:cs="Times New Roman"/>
          <w:sz w:val="28"/>
          <w:szCs w:val="28"/>
        </w:rPr>
      </w:pPr>
    </w:p>
    <w:p w14:paraId="6B38B4D1" w14:textId="77777777" w:rsidR="00586CEB" w:rsidRDefault="00586CEB">
      <w:pPr>
        <w:spacing w:line="240" w:lineRule="auto"/>
        <w:jc w:val="both"/>
        <w:rPr>
          <w:rFonts w:ascii="Times New Roman" w:eastAsia="Times New Roman" w:hAnsi="Times New Roman" w:cs="Times New Roman"/>
          <w:sz w:val="28"/>
          <w:szCs w:val="28"/>
        </w:rPr>
      </w:pPr>
    </w:p>
    <w:p w14:paraId="623795FB" w14:textId="77777777" w:rsidR="00586CEB" w:rsidRDefault="00586CEB">
      <w:pPr>
        <w:spacing w:line="240" w:lineRule="auto"/>
        <w:jc w:val="both"/>
        <w:rPr>
          <w:rFonts w:ascii="Times New Roman" w:eastAsia="Times New Roman" w:hAnsi="Times New Roman" w:cs="Times New Roman"/>
          <w:sz w:val="28"/>
          <w:szCs w:val="28"/>
        </w:rPr>
      </w:pPr>
    </w:p>
    <w:p w14:paraId="4EF94A16" w14:textId="77777777" w:rsidR="00586CEB" w:rsidRDefault="00586CEB">
      <w:pPr>
        <w:spacing w:line="240" w:lineRule="auto"/>
        <w:jc w:val="both"/>
        <w:rPr>
          <w:rFonts w:ascii="Times New Roman" w:eastAsia="Times New Roman" w:hAnsi="Times New Roman" w:cs="Times New Roman"/>
          <w:sz w:val="28"/>
          <w:szCs w:val="28"/>
        </w:rPr>
      </w:pPr>
    </w:p>
    <w:p w14:paraId="0000001C" w14:textId="4C9C1FA8" w:rsidR="00934474" w:rsidRPr="00586CEB" w:rsidRDefault="00000000">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 xml:space="preserve">I </w:t>
      </w:r>
      <w:r w:rsidR="00167D61" w:rsidRPr="00586CEB">
        <w:rPr>
          <w:rFonts w:ascii="Times New Roman" w:eastAsia="Times New Roman" w:hAnsi="Times New Roman" w:cs="Times New Roman"/>
          <w:sz w:val="28"/>
          <w:szCs w:val="28"/>
        </w:rPr>
        <w:t>will now proceed to my second submission that</w:t>
      </w:r>
      <w:r w:rsidRPr="00586CEB">
        <w:rPr>
          <w:rFonts w:ascii="Times New Roman" w:eastAsia="Times New Roman" w:hAnsi="Times New Roman" w:cs="Times New Roman"/>
          <w:sz w:val="28"/>
          <w:szCs w:val="28"/>
        </w:rPr>
        <w:t xml:space="preserve"> New Regulations further a valid ameliorative purpose under s. 15(2) beginning at paragraph 5</w:t>
      </w:r>
      <w:r w:rsidR="000D6A53" w:rsidRPr="00586CEB">
        <w:rPr>
          <w:rFonts w:ascii="Times New Roman" w:eastAsia="Times New Roman" w:hAnsi="Times New Roman" w:cs="Times New Roman"/>
          <w:sz w:val="28"/>
          <w:szCs w:val="28"/>
        </w:rPr>
        <w:t xml:space="preserve">9 </w:t>
      </w:r>
      <w:r w:rsidRPr="00586CEB">
        <w:rPr>
          <w:rFonts w:ascii="Times New Roman" w:eastAsia="Times New Roman" w:hAnsi="Times New Roman" w:cs="Times New Roman"/>
          <w:sz w:val="28"/>
          <w:szCs w:val="28"/>
        </w:rPr>
        <w:t xml:space="preserve">of the respondent’s factum. First, we respectfully submit that this Court should adopt the dissenting reasoning of Justices Côté, Brown, and Rowe in </w:t>
      </w:r>
      <w:r w:rsidRPr="00586CEB">
        <w:rPr>
          <w:rFonts w:ascii="Times New Roman" w:eastAsia="Times New Roman" w:hAnsi="Times New Roman" w:cs="Times New Roman"/>
          <w:i/>
          <w:sz w:val="28"/>
          <w:szCs w:val="28"/>
        </w:rPr>
        <w:t>Alliance</w:t>
      </w:r>
      <w:r w:rsidR="00B702A4" w:rsidRPr="00586CEB">
        <w:rPr>
          <w:rFonts w:ascii="Times New Roman" w:eastAsia="Times New Roman" w:hAnsi="Times New Roman" w:cs="Times New Roman"/>
          <w:i/>
          <w:sz w:val="28"/>
          <w:szCs w:val="28"/>
        </w:rPr>
        <w:t xml:space="preserve"> </w:t>
      </w:r>
      <w:r w:rsidR="00B702A4" w:rsidRPr="00586CEB">
        <w:rPr>
          <w:rFonts w:ascii="Times New Roman" w:eastAsia="Times New Roman" w:hAnsi="Times New Roman" w:cs="Times New Roman"/>
          <w:sz w:val="28"/>
          <w:szCs w:val="28"/>
        </w:rPr>
        <w:t>(RF at 62)</w:t>
      </w:r>
      <w:r w:rsidRPr="00586CEB">
        <w:rPr>
          <w:rFonts w:ascii="Times New Roman" w:eastAsia="Times New Roman" w:hAnsi="Times New Roman" w:cs="Times New Roman"/>
          <w:sz w:val="28"/>
          <w:szCs w:val="28"/>
        </w:rPr>
        <w:t>. The dissenting judges advanced a broader, more inclusive interpretation of section 15(2) that would allow governments to defend ameliorative programs even where the claimant belongs to the disadvantaged group the program seeks to protect</w:t>
      </w:r>
      <w:r w:rsidR="00B702A4" w:rsidRPr="00586CEB">
        <w:rPr>
          <w:rFonts w:ascii="Times New Roman" w:eastAsia="Times New Roman" w:hAnsi="Times New Roman" w:cs="Times New Roman"/>
          <w:sz w:val="28"/>
          <w:szCs w:val="28"/>
        </w:rPr>
        <w:t xml:space="preserve"> (RF at 63)</w:t>
      </w:r>
      <w:r w:rsidRPr="00586CEB">
        <w:rPr>
          <w:rFonts w:ascii="Times New Roman" w:eastAsia="Times New Roman" w:hAnsi="Times New Roman" w:cs="Times New Roman"/>
          <w:sz w:val="28"/>
          <w:szCs w:val="28"/>
        </w:rPr>
        <w:t xml:space="preserve">. In contrast, the majority's reasoning in </w:t>
      </w:r>
      <w:r w:rsidRPr="00586CEB">
        <w:rPr>
          <w:rFonts w:ascii="Times New Roman" w:eastAsia="Times New Roman" w:hAnsi="Times New Roman" w:cs="Times New Roman"/>
          <w:i/>
          <w:sz w:val="28"/>
          <w:szCs w:val="28"/>
        </w:rPr>
        <w:t>Alliance</w:t>
      </w:r>
      <w:r w:rsidRPr="00586CEB">
        <w:rPr>
          <w:rFonts w:ascii="Times New Roman" w:eastAsia="Times New Roman" w:hAnsi="Times New Roman" w:cs="Times New Roman"/>
          <w:sz w:val="28"/>
          <w:szCs w:val="28"/>
        </w:rPr>
        <w:t xml:space="preserve">, as articulated by Justice Abella, restricts the use of section 15(2) as a defence to s. 15(1) scrutiny where the claimant is </w:t>
      </w:r>
      <w:r w:rsidR="00153B46" w:rsidRPr="00586CEB">
        <w:rPr>
          <w:rFonts w:ascii="Times New Roman" w:eastAsia="Times New Roman" w:hAnsi="Times New Roman" w:cs="Times New Roman"/>
          <w:sz w:val="28"/>
          <w:szCs w:val="28"/>
        </w:rPr>
        <w:t xml:space="preserve">not </w:t>
      </w:r>
      <w:r w:rsidRPr="00586CEB">
        <w:rPr>
          <w:rFonts w:ascii="Times New Roman" w:eastAsia="Times New Roman" w:hAnsi="Times New Roman" w:cs="Times New Roman"/>
          <w:sz w:val="28"/>
          <w:szCs w:val="28"/>
        </w:rPr>
        <w:t>part of the group the program was designed to benefit</w:t>
      </w:r>
      <w:r w:rsidR="00B702A4" w:rsidRPr="00586CEB">
        <w:rPr>
          <w:rFonts w:ascii="Times New Roman" w:eastAsia="Times New Roman" w:hAnsi="Times New Roman" w:cs="Times New Roman"/>
          <w:sz w:val="28"/>
          <w:szCs w:val="28"/>
        </w:rPr>
        <w:t xml:space="preserve"> (RF at 63)</w:t>
      </w:r>
      <w:r w:rsidRPr="00586CEB">
        <w:rPr>
          <w:rFonts w:ascii="Times New Roman" w:eastAsia="Times New Roman" w:hAnsi="Times New Roman" w:cs="Times New Roman"/>
          <w:sz w:val="28"/>
          <w:szCs w:val="28"/>
        </w:rPr>
        <w:t>. This narrow approach places undue constraints on governments, creating significant barriers to implementing effective ameliorative measures</w:t>
      </w:r>
      <w:r w:rsidR="00B702A4" w:rsidRPr="00586CEB">
        <w:rPr>
          <w:rFonts w:ascii="Times New Roman" w:eastAsia="Times New Roman" w:hAnsi="Times New Roman" w:cs="Times New Roman"/>
          <w:sz w:val="28"/>
          <w:szCs w:val="28"/>
        </w:rPr>
        <w:t xml:space="preserve"> (RF at 62)</w:t>
      </w:r>
      <w:r w:rsidRPr="00586CEB">
        <w:rPr>
          <w:rFonts w:ascii="Times New Roman" w:eastAsia="Times New Roman" w:hAnsi="Times New Roman" w:cs="Times New Roman"/>
          <w:sz w:val="28"/>
          <w:szCs w:val="28"/>
        </w:rPr>
        <w:t xml:space="preserve">. The dissenting interpretation </w:t>
      </w:r>
      <w:r w:rsidR="00657B06" w:rsidRPr="00586CEB">
        <w:rPr>
          <w:rFonts w:ascii="Times New Roman" w:eastAsia="Times New Roman" w:hAnsi="Times New Roman" w:cs="Times New Roman"/>
          <w:sz w:val="28"/>
          <w:szCs w:val="28"/>
        </w:rPr>
        <w:t xml:space="preserve">more closely </w:t>
      </w:r>
      <w:r w:rsidRPr="00586CEB">
        <w:rPr>
          <w:rFonts w:ascii="Times New Roman" w:eastAsia="Times New Roman" w:hAnsi="Times New Roman" w:cs="Times New Roman"/>
          <w:sz w:val="28"/>
          <w:szCs w:val="28"/>
        </w:rPr>
        <w:t>aligns with the purpose of section 15(2): to protect programs that promote substantive equality</w:t>
      </w:r>
      <w:r w:rsidR="00B702A4" w:rsidRPr="00586CEB">
        <w:rPr>
          <w:rFonts w:ascii="Times New Roman" w:eastAsia="Times New Roman" w:hAnsi="Times New Roman" w:cs="Times New Roman"/>
          <w:sz w:val="28"/>
          <w:szCs w:val="28"/>
        </w:rPr>
        <w:t xml:space="preserve"> (RF at 63)</w:t>
      </w:r>
      <w:r w:rsidRPr="00586CEB">
        <w:rPr>
          <w:rFonts w:ascii="Times New Roman" w:eastAsia="Times New Roman" w:hAnsi="Times New Roman" w:cs="Times New Roman"/>
          <w:sz w:val="28"/>
          <w:szCs w:val="28"/>
        </w:rPr>
        <w:t xml:space="preserve">. </w:t>
      </w:r>
      <w:r w:rsidR="00657B06" w:rsidRPr="00586CEB">
        <w:rPr>
          <w:rFonts w:ascii="Times New Roman" w:eastAsia="Times New Roman" w:hAnsi="Times New Roman" w:cs="Times New Roman"/>
          <w:sz w:val="28"/>
          <w:szCs w:val="28"/>
        </w:rPr>
        <w:t>The</w:t>
      </w:r>
      <w:r w:rsidRPr="00586CEB">
        <w:rPr>
          <w:rFonts w:ascii="Times New Roman" w:eastAsia="Times New Roman" w:hAnsi="Times New Roman" w:cs="Times New Roman"/>
          <w:sz w:val="28"/>
          <w:szCs w:val="28"/>
        </w:rPr>
        <w:t xml:space="preserve"> broader interpretation </w:t>
      </w:r>
      <w:r w:rsidR="00657B06" w:rsidRPr="00586CEB">
        <w:rPr>
          <w:rFonts w:ascii="Times New Roman" w:eastAsia="Times New Roman" w:hAnsi="Times New Roman" w:cs="Times New Roman"/>
          <w:sz w:val="28"/>
          <w:szCs w:val="28"/>
        </w:rPr>
        <w:t xml:space="preserve">advanced by the dissent </w:t>
      </w:r>
      <w:r w:rsidRPr="00586CEB">
        <w:rPr>
          <w:rFonts w:ascii="Times New Roman" w:eastAsia="Times New Roman" w:hAnsi="Times New Roman" w:cs="Times New Roman"/>
          <w:sz w:val="28"/>
          <w:szCs w:val="28"/>
        </w:rPr>
        <w:t>ensures governments can achieve th</w:t>
      </w:r>
      <w:r w:rsidR="00463C91" w:rsidRPr="00586CEB">
        <w:rPr>
          <w:rFonts w:ascii="Times New Roman" w:eastAsia="Times New Roman" w:hAnsi="Times New Roman" w:cs="Times New Roman"/>
          <w:sz w:val="28"/>
          <w:szCs w:val="28"/>
        </w:rPr>
        <w:t>is</w:t>
      </w:r>
      <w:r w:rsidRPr="00586CEB">
        <w:rPr>
          <w:rFonts w:ascii="Times New Roman" w:eastAsia="Times New Roman" w:hAnsi="Times New Roman" w:cs="Times New Roman"/>
          <w:sz w:val="28"/>
          <w:szCs w:val="28"/>
        </w:rPr>
        <w:t xml:space="preserve"> goal </w:t>
      </w:r>
      <w:r w:rsidR="00B702A4" w:rsidRPr="00586CEB">
        <w:rPr>
          <w:rFonts w:ascii="Times New Roman" w:eastAsia="Times New Roman" w:hAnsi="Times New Roman" w:cs="Times New Roman"/>
          <w:sz w:val="28"/>
          <w:szCs w:val="28"/>
        </w:rPr>
        <w:t>by allowing them to</w:t>
      </w:r>
      <w:r w:rsidR="00657B06" w:rsidRPr="00586CEB">
        <w:rPr>
          <w:rFonts w:ascii="Times New Roman" w:eastAsia="Times New Roman" w:hAnsi="Times New Roman" w:cs="Times New Roman"/>
          <w:sz w:val="28"/>
          <w:szCs w:val="28"/>
        </w:rPr>
        <w:t xml:space="preserve"> defend </w:t>
      </w:r>
      <w:r w:rsidR="00B702A4" w:rsidRPr="00586CEB">
        <w:rPr>
          <w:rFonts w:ascii="Times New Roman" w:eastAsia="Times New Roman" w:hAnsi="Times New Roman" w:cs="Times New Roman"/>
          <w:sz w:val="28"/>
          <w:szCs w:val="28"/>
        </w:rPr>
        <w:t>truly</w:t>
      </w:r>
      <w:r w:rsidR="00657B06" w:rsidRPr="00586CEB">
        <w:rPr>
          <w:rFonts w:ascii="Times New Roman" w:eastAsia="Times New Roman" w:hAnsi="Times New Roman" w:cs="Times New Roman"/>
          <w:sz w:val="28"/>
          <w:szCs w:val="28"/>
        </w:rPr>
        <w:t xml:space="preserve"> ameliorative programs</w:t>
      </w:r>
      <w:r w:rsidR="00B702A4" w:rsidRPr="00586CEB">
        <w:rPr>
          <w:rFonts w:ascii="Times New Roman" w:eastAsia="Times New Roman" w:hAnsi="Times New Roman" w:cs="Times New Roman"/>
          <w:sz w:val="28"/>
          <w:szCs w:val="28"/>
        </w:rPr>
        <w:t xml:space="preserve"> (RF at 64)</w:t>
      </w:r>
      <w:r w:rsidRPr="00586CEB">
        <w:rPr>
          <w:rFonts w:ascii="Times New Roman" w:eastAsia="Times New Roman" w:hAnsi="Times New Roman" w:cs="Times New Roman"/>
          <w:sz w:val="28"/>
          <w:szCs w:val="28"/>
        </w:rPr>
        <w:t xml:space="preserve">. Furthermore, in </w:t>
      </w:r>
      <w:r w:rsidRPr="00586CEB">
        <w:rPr>
          <w:rFonts w:ascii="Times New Roman" w:eastAsia="Times New Roman" w:hAnsi="Times New Roman" w:cs="Times New Roman"/>
          <w:i/>
          <w:sz w:val="28"/>
          <w:szCs w:val="28"/>
        </w:rPr>
        <w:t>Gosselin</w:t>
      </w:r>
      <w:r w:rsidRPr="00586CEB">
        <w:rPr>
          <w:rFonts w:ascii="Times New Roman" w:eastAsia="Times New Roman" w:hAnsi="Times New Roman" w:cs="Times New Roman"/>
          <w:sz w:val="28"/>
          <w:szCs w:val="28"/>
        </w:rPr>
        <w:t xml:space="preserve">, age-based distinctions requiring younger recipients to participate in training programs were </w:t>
      </w:r>
      <w:r w:rsidR="002260B0" w:rsidRPr="00586CEB">
        <w:rPr>
          <w:rFonts w:ascii="Times New Roman" w:eastAsia="Times New Roman" w:hAnsi="Times New Roman" w:cs="Times New Roman"/>
          <w:sz w:val="28"/>
          <w:szCs w:val="28"/>
        </w:rPr>
        <w:t>held</w:t>
      </w:r>
      <w:r w:rsidRPr="00586CEB">
        <w:rPr>
          <w:rFonts w:ascii="Times New Roman" w:eastAsia="Times New Roman" w:hAnsi="Times New Roman" w:cs="Times New Roman"/>
          <w:sz w:val="28"/>
          <w:szCs w:val="28"/>
        </w:rPr>
        <w:t xml:space="preserve"> as ameliorative measures addressing disproportionate unemployment and poverty</w:t>
      </w:r>
      <w:r w:rsidR="002260B0" w:rsidRPr="00586CEB">
        <w:rPr>
          <w:rFonts w:ascii="Times New Roman" w:eastAsia="Times New Roman" w:hAnsi="Times New Roman" w:cs="Times New Roman"/>
          <w:sz w:val="28"/>
          <w:szCs w:val="28"/>
        </w:rPr>
        <w:t xml:space="preserve"> for welfare recipients under 30</w:t>
      </w:r>
      <w:r w:rsidR="00B702A4" w:rsidRPr="00586CEB">
        <w:rPr>
          <w:rFonts w:ascii="Times New Roman" w:eastAsia="Times New Roman" w:hAnsi="Times New Roman" w:cs="Times New Roman"/>
          <w:sz w:val="28"/>
          <w:szCs w:val="28"/>
        </w:rPr>
        <w:t xml:space="preserve"> (RF at 64)</w:t>
      </w:r>
      <w:r w:rsidRPr="00586CEB">
        <w:rPr>
          <w:rFonts w:ascii="Times New Roman" w:eastAsia="Times New Roman" w:hAnsi="Times New Roman" w:cs="Times New Roman"/>
          <w:sz w:val="28"/>
          <w:szCs w:val="28"/>
        </w:rPr>
        <w:t>. Similarly, the New Regulations aim to combat systemic barriers faced by younger residents while promoting self-sufficiency and economic growth</w:t>
      </w:r>
      <w:r w:rsidR="00B702A4" w:rsidRPr="00586CEB">
        <w:rPr>
          <w:rFonts w:ascii="Times New Roman" w:eastAsia="Times New Roman" w:hAnsi="Times New Roman" w:cs="Times New Roman"/>
          <w:sz w:val="28"/>
          <w:szCs w:val="28"/>
        </w:rPr>
        <w:t xml:space="preserve"> (RF at 65)</w:t>
      </w:r>
      <w:r w:rsidRPr="00586CEB">
        <w:rPr>
          <w:rFonts w:ascii="Times New Roman" w:eastAsia="Times New Roman" w:hAnsi="Times New Roman" w:cs="Times New Roman"/>
          <w:sz w:val="28"/>
          <w:szCs w:val="28"/>
        </w:rPr>
        <w:t xml:space="preserve">. We </w:t>
      </w:r>
      <w:r w:rsidR="00B702A4" w:rsidRPr="00586CEB">
        <w:rPr>
          <w:rFonts w:ascii="Times New Roman" w:eastAsia="Times New Roman" w:hAnsi="Times New Roman" w:cs="Times New Roman"/>
          <w:sz w:val="28"/>
          <w:szCs w:val="28"/>
        </w:rPr>
        <w:t xml:space="preserve">therefore </w:t>
      </w:r>
      <w:r w:rsidRPr="00586CEB">
        <w:rPr>
          <w:rFonts w:ascii="Times New Roman" w:eastAsia="Times New Roman" w:hAnsi="Times New Roman" w:cs="Times New Roman"/>
          <w:sz w:val="28"/>
          <w:szCs w:val="28"/>
        </w:rPr>
        <w:t xml:space="preserve">respectfully ask this Court to adopt the dissenting reasoning in </w:t>
      </w:r>
      <w:r w:rsidRPr="00586CEB">
        <w:rPr>
          <w:rFonts w:ascii="Times New Roman" w:eastAsia="Times New Roman" w:hAnsi="Times New Roman" w:cs="Times New Roman"/>
          <w:i/>
          <w:sz w:val="28"/>
          <w:szCs w:val="28"/>
        </w:rPr>
        <w:t>Alliance</w:t>
      </w:r>
      <w:r w:rsidRPr="00586CEB">
        <w:rPr>
          <w:rFonts w:ascii="Times New Roman" w:eastAsia="Times New Roman" w:hAnsi="Times New Roman" w:cs="Times New Roman"/>
          <w:sz w:val="28"/>
          <w:szCs w:val="28"/>
        </w:rPr>
        <w:t xml:space="preserve"> to allow section 15(2) to apply </w:t>
      </w:r>
      <w:r w:rsidR="002260B0" w:rsidRPr="00586CEB">
        <w:rPr>
          <w:rFonts w:ascii="Times New Roman" w:eastAsia="Times New Roman" w:hAnsi="Times New Roman" w:cs="Times New Roman"/>
          <w:sz w:val="28"/>
          <w:szCs w:val="28"/>
        </w:rPr>
        <w:t xml:space="preserve">when defending </w:t>
      </w:r>
      <w:r w:rsidRPr="00586CEB">
        <w:rPr>
          <w:rFonts w:ascii="Times New Roman" w:eastAsia="Times New Roman" w:hAnsi="Times New Roman" w:cs="Times New Roman"/>
          <w:sz w:val="28"/>
          <w:szCs w:val="28"/>
        </w:rPr>
        <w:t xml:space="preserve">ameliorative </w:t>
      </w:r>
      <w:r w:rsidR="002260B0" w:rsidRPr="00586CEB">
        <w:rPr>
          <w:rFonts w:ascii="Times New Roman" w:eastAsia="Times New Roman" w:hAnsi="Times New Roman" w:cs="Times New Roman"/>
          <w:sz w:val="28"/>
          <w:szCs w:val="28"/>
        </w:rPr>
        <w:t>programs</w:t>
      </w:r>
      <w:r w:rsidRPr="00586CEB">
        <w:rPr>
          <w:rFonts w:ascii="Times New Roman" w:eastAsia="Times New Roman" w:hAnsi="Times New Roman" w:cs="Times New Roman"/>
          <w:sz w:val="28"/>
          <w:szCs w:val="28"/>
        </w:rPr>
        <w:t xml:space="preserve"> like the New Regulations.</w:t>
      </w:r>
    </w:p>
    <w:p w14:paraId="3AC0FE40" w14:textId="77777777" w:rsidR="00DA725B" w:rsidRPr="00586CEB" w:rsidRDefault="00DA725B">
      <w:pPr>
        <w:spacing w:line="240" w:lineRule="auto"/>
        <w:jc w:val="both"/>
        <w:rPr>
          <w:rFonts w:ascii="Times New Roman" w:eastAsia="Times New Roman" w:hAnsi="Times New Roman" w:cs="Times New Roman"/>
          <w:sz w:val="28"/>
          <w:szCs w:val="28"/>
        </w:rPr>
      </w:pPr>
    </w:p>
    <w:p w14:paraId="44B26B3D" w14:textId="77777777" w:rsidR="00586CEB" w:rsidRDefault="00586CEB">
      <w:pPr>
        <w:spacing w:line="240" w:lineRule="auto"/>
        <w:jc w:val="both"/>
        <w:rPr>
          <w:rFonts w:ascii="Times New Roman" w:eastAsia="Times New Roman" w:hAnsi="Times New Roman" w:cs="Times New Roman"/>
          <w:color w:val="FF0000"/>
          <w:sz w:val="28"/>
          <w:szCs w:val="28"/>
        </w:rPr>
      </w:pPr>
    </w:p>
    <w:p w14:paraId="365CBD72" w14:textId="77777777" w:rsidR="00586CEB" w:rsidRDefault="00586CEB">
      <w:pPr>
        <w:spacing w:line="240" w:lineRule="auto"/>
        <w:jc w:val="both"/>
        <w:rPr>
          <w:rFonts w:ascii="Times New Roman" w:eastAsia="Times New Roman" w:hAnsi="Times New Roman" w:cs="Times New Roman"/>
          <w:color w:val="FF0000"/>
          <w:sz w:val="28"/>
          <w:szCs w:val="28"/>
        </w:rPr>
      </w:pPr>
    </w:p>
    <w:p w14:paraId="0E205A6E" w14:textId="77777777" w:rsidR="00586CEB" w:rsidRDefault="00586CEB">
      <w:pPr>
        <w:spacing w:line="240" w:lineRule="auto"/>
        <w:jc w:val="both"/>
        <w:rPr>
          <w:rFonts w:ascii="Times New Roman" w:eastAsia="Times New Roman" w:hAnsi="Times New Roman" w:cs="Times New Roman"/>
          <w:color w:val="FF0000"/>
          <w:sz w:val="28"/>
          <w:szCs w:val="28"/>
        </w:rPr>
      </w:pPr>
    </w:p>
    <w:p w14:paraId="68E39EDC" w14:textId="77777777" w:rsidR="00586CEB" w:rsidRDefault="00586CEB">
      <w:pPr>
        <w:spacing w:line="240" w:lineRule="auto"/>
        <w:jc w:val="both"/>
        <w:rPr>
          <w:rFonts w:ascii="Times New Roman" w:eastAsia="Times New Roman" w:hAnsi="Times New Roman" w:cs="Times New Roman"/>
          <w:color w:val="FF0000"/>
          <w:sz w:val="28"/>
          <w:szCs w:val="28"/>
        </w:rPr>
      </w:pPr>
    </w:p>
    <w:p w14:paraId="1173F708" w14:textId="77777777" w:rsidR="00586CEB" w:rsidRDefault="00586CEB">
      <w:pPr>
        <w:spacing w:line="240" w:lineRule="auto"/>
        <w:jc w:val="both"/>
        <w:rPr>
          <w:rFonts w:ascii="Times New Roman" w:eastAsia="Times New Roman" w:hAnsi="Times New Roman" w:cs="Times New Roman"/>
          <w:color w:val="FF0000"/>
          <w:sz w:val="28"/>
          <w:szCs w:val="28"/>
        </w:rPr>
      </w:pPr>
    </w:p>
    <w:p w14:paraId="1974C11F" w14:textId="77777777" w:rsidR="00586CEB" w:rsidRDefault="00586CEB">
      <w:pPr>
        <w:spacing w:line="240" w:lineRule="auto"/>
        <w:jc w:val="both"/>
        <w:rPr>
          <w:rFonts w:ascii="Times New Roman" w:eastAsia="Times New Roman" w:hAnsi="Times New Roman" w:cs="Times New Roman"/>
          <w:color w:val="FF0000"/>
          <w:sz w:val="28"/>
          <w:szCs w:val="28"/>
        </w:rPr>
      </w:pPr>
    </w:p>
    <w:p w14:paraId="33B40E0E" w14:textId="77777777" w:rsidR="00586CEB" w:rsidRDefault="00586CEB">
      <w:pPr>
        <w:spacing w:line="240" w:lineRule="auto"/>
        <w:jc w:val="both"/>
        <w:rPr>
          <w:rFonts w:ascii="Times New Roman" w:eastAsia="Times New Roman" w:hAnsi="Times New Roman" w:cs="Times New Roman"/>
          <w:color w:val="FF0000"/>
          <w:sz w:val="28"/>
          <w:szCs w:val="28"/>
        </w:rPr>
      </w:pPr>
    </w:p>
    <w:p w14:paraId="1E3F94CB" w14:textId="77777777" w:rsidR="00586CEB" w:rsidRDefault="00586CEB">
      <w:pPr>
        <w:spacing w:line="240" w:lineRule="auto"/>
        <w:jc w:val="both"/>
        <w:rPr>
          <w:rFonts w:ascii="Times New Roman" w:eastAsia="Times New Roman" w:hAnsi="Times New Roman" w:cs="Times New Roman"/>
          <w:color w:val="FF0000"/>
          <w:sz w:val="28"/>
          <w:szCs w:val="28"/>
        </w:rPr>
      </w:pPr>
    </w:p>
    <w:p w14:paraId="7D29CC22" w14:textId="77777777" w:rsidR="00586CEB" w:rsidRDefault="00586CEB">
      <w:pPr>
        <w:spacing w:line="240" w:lineRule="auto"/>
        <w:jc w:val="both"/>
        <w:rPr>
          <w:rFonts w:ascii="Times New Roman" w:eastAsia="Times New Roman" w:hAnsi="Times New Roman" w:cs="Times New Roman"/>
          <w:color w:val="FF0000"/>
          <w:sz w:val="28"/>
          <w:szCs w:val="28"/>
        </w:rPr>
      </w:pPr>
    </w:p>
    <w:p w14:paraId="7589BF24" w14:textId="77777777" w:rsidR="00586CEB" w:rsidRDefault="00586CEB">
      <w:pPr>
        <w:spacing w:line="240" w:lineRule="auto"/>
        <w:jc w:val="both"/>
        <w:rPr>
          <w:rFonts w:ascii="Times New Roman" w:eastAsia="Times New Roman" w:hAnsi="Times New Roman" w:cs="Times New Roman"/>
          <w:color w:val="FF0000"/>
          <w:sz w:val="28"/>
          <w:szCs w:val="28"/>
        </w:rPr>
      </w:pPr>
    </w:p>
    <w:p w14:paraId="260E396D" w14:textId="77777777" w:rsidR="00586CEB" w:rsidRDefault="00586CEB">
      <w:pPr>
        <w:spacing w:line="240" w:lineRule="auto"/>
        <w:jc w:val="both"/>
        <w:rPr>
          <w:rFonts w:ascii="Times New Roman" w:eastAsia="Times New Roman" w:hAnsi="Times New Roman" w:cs="Times New Roman"/>
          <w:color w:val="FF0000"/>
          <w:sz w:val="28"/>
          <w:szCs w:val="28"/>
        </w:rPr>
      </w:pPr>
    </w:p>
    <w:p w14:paraId="31871325" w14:textId="77777777" w:rsidR="00586CEB" w:rsidRDefault="00586CEB">
      <w:pPr>
        <w:spacing w:line="240" w:lineRule="auto"/>
        <w:jc w:val="both"/>
        <w:rPr>
          <w:rFonts w:ascii="Times New Roman" w:eastAsia="Times New Roman" w:hAnsi="Times New Roman" w:cs="Times New Roman"/>
          <w:color w:val="FF0000"/>
          <w:sz w:val="28"/>
          <w:szCs w:val="28"/>
        </w:rPr>
      </w:pPr>
    </w:p>
    <w:p w14:paraId="74A29A48" w14:textId="77777777" w:rsidR="00586CEB" w:rsidRDefault="00586CEB">
      <w:pPr>
        <w:spacing w:line="240" w:lineRule="auto"/>
        <w:jc w:val="both"/>
        <w:rPr>
          <w:rFonts w:ascii="Times New Roman" w:eastAsia="Times New Roman" w:hAnsi="Times New Roman" w:cs="Times New Roman"/>
          <w:color w:val="FF0000"/>
          <w:sz w:val="28"/>
          <w:szCs w:val="28"/>
        </w:rPr>
      </w:pPr>
    </w:p>
    <w:p w14:paraId="00430528" w14:textId="77777777" w:rsidR="00586CEB" w:rsidRDefault="00586CEB">
      <w:pPr>
        <w:spacing w:line="240" w:lineRule="auto"/>
        <w:jc w:val="both"/>
        <w:rPr>
          <w:rFonts w:ascii="Times New Roman" w:eastAsia="Times New Roman" w:hAnsi="Times New Roman" w:cs="Times New Roman"/>
          <w:color w:val="FF0000"/>
          <w:sz w:val="28"/>
          <w:szCs w:val="28"/>
        </w:rPr>
      </w:pPr>
    </w:p>
    <w:p w14:paraId="23BE7C71" w14:textId="77777777" w:rsidR="00586CEB" w:rsidRDefault="00586CEB">
      <w:pPr>
        <w:spacing w:line="240" w:lineRule="auto"/>
        <w:jc w:val="both"/>
        <w:rPr>
          <w:rFonts w:ascii="Times New Roman" w:eastAsia="Times New Roman" w:hAnsi="Times New Roman" w:cs="Times New Roman"/>
          <w:color w:val="FF0000"/>
          <w:sz w:val="28"/>
          <w:szCs w:val="28"/>
        </w:rPr>
      </w:pPr>
    </w:p>
    <w:p w14:paraId="014916C5" w14:textId="77777777" w:rsidR="00586CEB" w:rsidRDefault="00586CEB">
      <w:pPr>
        <w:spacing w:line="240" w:lineRule="auto"/>
        <w:jc w:val="both"/>
        <w:rPr>
          <w:rFonts w:ascii="Times New Roman" w:eastAsia="Times New Roman" w:hAnsi="Times New Roman" w:cs="Times New Roman"/>
          <w:color w:val="FF0000"/>
          <w:sz w:val="28"/>
          <w:szCs w:val="28"/>
        </w:rPr>
      </w:pPr>
    </w:p>
    <w:p w14:paraId="62CC0467" w14:textId="0BA2D81A" w:rsidR="00DA725B" w:rsidRPr="00586CEB" w:rsidRDefault="00DA725B">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lastRenderedPageBreak/>
        <w:t>Justification for changing s. 15(2)</w:t>
      </w:r>
    </w:p>
    <w:p w14:paraId="1005F83C" w14:textId="36FF4759" w:rsidR="00F06D5B" w:rsidRPr="00586CEB" w:rsidRDefault="00167D61" w:rsidP="00F06D5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w:t>
      </w:r>
      <w:r w:rsidR="00F06D5B" w:rsidRPr="00586CEB">
        <w:rPr>
          <w:rFonts w:ascii="Times New Roman" w:eastAsia="Times New Roman" w:hAnsi="Times New Roman" w:cs="Times New Roman"/>
          <w:color w:val="FF0000"/>
          <w:sz w:val="28"/>
          <w:szCs w:val="28"/>
        </w:rPr>
        <w:t>he second step of the s. 15(1) analysis will help in identifying the law’s real object. Thus, if a law establishes mechanisms that create no benefit for the group, it probably does not genuinely have the amelioration of the group’s conditions as its object</w:t>
      </w:r>
    </w:p>
    <w:p w14:paraId="1B77EB29" w14:textId="58EA7E61" w:rsidR="00167D61" w:rsidRPr="00586CEB" w:rsidRDefault="00167D61" w:rsidP="00F06D5B">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Court acknowledged in </w:t>
      </w:r>
      <w:r w:rsidRPr="00586CEB">
        <w:rPr>
          <w:rFonts w:ascii="Times New Roman" w:eastAsia="Times New Roman" w:hAnsi="Times New Roman" w:cs="Times New Roman"/>
          <w:i/>
          <w:iCs/>
          <w:color w:val="FF0000"/>
          <w:sz w:val="28"/>
          <w:szCs w:val="28"/>
        </w:rPr>
        <w:t>Kapp</w:t>
      </w:r>
      <w:r w:rsidRPr="00586CEB">
        <w:rPr>
          <w:rFonts w:ascii="Times New Roman" w:eastAsia="Times New Roman" w:hAnsi="Times New Roman" w:cs="Times New Roman"/>
          <w:color w:val="FF0000"/>
          <w:sz w:val="28"/>
          <w:szCs w:val="28"/>
        </w:rPr>
        <w:t xml:space="preserve"> that the test it was proposing at that time was only at an early stage in the development of the case law on s. 15(2) and that “future cases may demand some adjustment to the framework” (para. 41)</w:t>
      </w:r>
    </w:p>
    <w:p w14:paraId="63765F21" w14:textId="77777777" w:rsidR="00B702A4" w:rsidRPr="00586CEB" w:rsidRDefault="00B702A4" w:rsidP="00B702A4">
      <w:pPr>
        <w:spacing w:line="240" w:lineRule="auto"/>
        <w:jc w:val="both"/>
        <w:rPr>
          <w:rFonts w:ascii="Times New Roman" w:eastAsia="Times New Roman" w:hAnsi="Times New Roman" w:cs="Times New Roman"/>
          <w:color w:val="FF0000"/>
          <w:sz w:val="28"/>
          <w:szCs w:val="28"/>
        </w:rPr>
      </w:pPr>
    </w:p>
    <w:p w14:paraId="5D25A793" w14:textId="71295506" w:rsidR="00B702A4" w:rsidRPr="00586CEB" w:rsidRDefault="00B702A4" w:rsidP="00B702A4">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Instances of the law </w:t>
      </w:r>
      <w:r w:rsidR="003138D8" w:rsidRPr="00586CEB">
        <w:rPr>
          <w:rFonts w:ascii="Times New Roman" w:eastAsia="Times New Roman" w:hAnsi="Times New Roman" w:cs="Times New Roman"/>
          <w:color w:val="FF0000"/>
          <w:sz w:val="28"/>
          <w:szCs w:val="28"/>
        </w:rPr>
        <w:t xml:space="preserve">evolving </w:t>
      </w:r>
    </w:p>
    <w:p w14:paraId="57DA1F9D" w14:textId="5D203CB7" w:rsidR="00F47695" w:rsidRPr="00586CEB" w:rsidRDefault="003138D8" w:rsidP="003138D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section 15 jurisprudence has evolved </w:t>
      </w:r>
      <w:r w:rsidR="00186252" w:rsidRPr="00586CEB">
        <w:rPr>
          <w:rFonts w:ascii="Times New Roman" w:eastAsia="Times New Roman" w:hAnsi="Times New Roman" w:cs="Times New Roman"/>
          <w:color w:val="FF0000"/>
          <w:sz w:val="28"/>
          <w:szCs w:val="28"/>
        </w:rPr>
        <w:t>overtime,</w:t>
      </w:r>
      <w:r w:rsidR="00F47695" w:rsidRPr="00586CEB">
        <w:rPr>
          <w:rFonts w:ascii="Times New Roman" w:eastAsia="Times New Roman" w:hAnsi="Times New Roman" w:cs="Times New Roman"/>
          <w:color w:val="FF0000"/>
          <w:sz w:val="28"/>
          <w:szCs w:val="28"/>
        </w:rPr>
        <w:t xml:space="preserve"> just 25 years ago in Law v Canada, the approach to section 15 was a three-step test. </w:t>
      </w:r>
    </w:p>
    <w:p w14:paraId="456184B7" w14:textId="4B206F7C" w:rsidR="003138D8" w:rsidRPr="00586CEB" w:rsidRDefault="00F47695" w:rsidP="003138D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In the evolution of section 15, </w:t>
      </w:r>
      <w:r w:rsidR="003138D8" w:rsidRPr="00586CEB">
        <w:rPr>
          <w:rFonts w:ascii="Times New Roman" w:eastAsia="Times New Roman" w:hAnsi="Times New Roman" w:cs="Times New Roman"/>
          <w:color w:val="FF0000"/>
          <w:sz w:val="28"/>
          <w:szCs w:val="28"/>
        </w:rPr>
        <w:t>the supreme court has historically relied on dissenting reasoning in majority decisions as the law has evolved</w:t>
      </w:r>
    </w:p>
    <w:p w14:paraId="30B47626" w14:textId="4EC2D4B1" w:rsidR="003138D8" w:rsidRPr="00586CEB" w:rsidRDefault="003138D8" w:rsidP="003138D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One specific example was the dissent in </w:t>
      </w:r>
      <w:r w:rsidR="00186252" w:rsidRPr="00586CEB">
        <w:rPr>
          <w:rFonts w:ascii="Times New Roman" w:eastAsia="Times New Roman" w:hAnsi="Times New Roman" w:cs="Times New Roman"/>
          <w:color w:val="FF0000"/>
          <w:sz w:val="28"/>
          <w:szCs w:val="28"/>
        </w:rPr>
        <w:t>E</w:t>
      </w:r>
      <w:r w:rsidRPr="00586CEB">
        <w:rPr>
          <w:rFonts w:ascii="Times New Roman" w:eastAsia="Times New Roman" w:hAnsi="Times New Roman" w:cs="Times New Roman"/>
          <w:color w:val="FF0000"/>
          <w:sz w:val="28"/>
          <w:szCs w:val="28"/>
        </w:rPr>
        <w:t xml:space="preserve">gan where McLachlin took a broader approach to equality </w:t>
      </w:r>
      <w:r w:rsidR="00186252" w:rsidRPr="00586CEB">
        <w:rPr>
          <w:rFonts w:ascii="Times New Roman" w:eastAsia="Times New Roman" w:hAnsi="Times New Roman" w:cs="Times New Roman"/>
          <w:color w:val="FF0000"/>
          <w:sz w:val="28"/>
          <w:szCs w:val="28"/>
        </w:rPr>
        <w:t>regarding the exclusion of same-sex couples from spousal benefits under the Old Age Security Act</w:t>
      </w:r>
      <w:r w:rsidR="00186252" w:rsidRPr="00586CEB">
        <w:rPr>
          <w:rFonts w:ascii="Times New Roman" w:eastAsia="Times New Roman" w:hAnsi="Times New Roman" w:cs="Times New Roman"/>
          <w:color w:val="FF0000"/>
          <w:sz w:val="28"/>
          <w:szCs w:val="28"/>
        </w:rPr>
        <w:sym w:font="Wingdings" w:char="F0E0"/>
      </w:r>
      <w:r w:rsidR="00186252" w:rsidRPr="00586CEB">
        <w:rPr>
          <w:rFonts w:ascii="Times New Roman" w:eastAsia="Times New Roman" w:hAnsi="Times New Roman" w:cs="Times New Roman"/>
          <w:color w:val="FF0000"/>
          <w:sz w:val="28"/>
          <w:szCs w:val="28"/>
        </w:rPr>
        <w:t xml:space="preserve"> her reasoning emphasizing that laws denying benefits based on sexual orientation reinforced historical disadvantage and exclusion was later adopted in M v H where the majority struck down Ontario’s exclusion of same-sex couples from spousal support laws</w:t>
      </w:r>
    </w:p>
    <w:p w14:paraId="2D4F5477" w14:textId="77777777" w:rsidR="0069590E" w:rsidRPr="00586CEB" w:rsidRDefault="00F47695" w:rsidP="003138D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highlight w:val="yellow"/>
        </w:rPr>
        <w:t xml:space="preserve">Another example is La Forest </w:t>
      </w:r>
      <w:r w:rsidR="00E0259C" w:rsidRPr="00586CEB">
        <w:rPr>
          <w:rFonts w:ascii="Times New Roman" w:eastAsia="Times New Roman" w:hAnsi="Times New Roman" w:cs="Times New Roman"/>
          <w:color w:val="FF0000"/>
          <w:sz w:val="28"/>
          <w:szCs w:val="28"/>
          <w:highlight w:val="yellow"/>
        </w:rPr>
        <w:t>dissent in Andrews</w:t>
      </w:r>
      <w:r w:rsidR="0069590E" w:rsidRPr="00586CEB">
        <w:rPr>
          <w:rFonts w:ascii="Times New Roman" w:eastAsia="Times New Roman" w:hAnsi="Times New Roman" w:cs="Times New Roman"/>
          <w:color w:val="FF0000"/>
          <w:sz w:val="28"/>
          <w:szCs w:val="28"/>
        </w:rPr>
        <w:t>,</w:t>
      </w:r>
      <w:r w:rsidR="00E0259C" w:rsidRPr="00586CEB">
        <w:rPr>
          <w:rFonts w:ascii="Times New Roman" w:eastAsia="Times New Roman" w:hAnsi="Times New Roman" w:cs="Times New Roman"/>
          <w:color w:val="FF0000"/>
          <w:sz w:val="28"/>
          <w:szCs w:val="28"/>
        </w:rPr>
        <w:t xml:space="preserve"> </w:t>
      </w:r>
      <w:r w:rsidR="0069590E" w:rsidRPr="00586CEB">
        <w:rPr>
          <w:rFonts w:ascii="Times New Roman" w:eastAsia="Times New Roman" w:hAnsi="Times New Roman" w:cs="Times New Roman"/>
          <w:color w:val="FF0000"/>
          <w:sz w:val="28"/>
          <w:szCs w:val="28"/>
        </w:rPr>
        <w:t xml:space="preserve">which </w:t>
      </w:r>
      <w:r w:rsidR="00E0259C" w:rsidRPr="00586CEB">
        <w:rPr>
          <w:rFonts w:ascii="Times New Roman" w:eastAsia="Times New Roman" w:hAnsi="Times New Roman" w:cs="Times New Roman"/>
          <w:color w:val="FF0000"/>
          <w:sz w:val="28"/>
          <w:szCs w:val="28"/>
        </w:rPr>
        <w:t xml:space="preserve">highlighted </w:t>
      </w:r>
      <w:r w:rsidRPr="00586CEB">
        <w:rPr>
          <w:rFonts w:ascii="Times New Roman" w:eastAsia="Times New Roman" w:hAnsi="Times New Roman" w:cs="Times New Roman"/>
          <w:color w:val="FF0000"/>
          <w:sz w:val="28"/>
          <w:szCs w:val="28"/>
        </w:rPr>
        <w:t>concerns about courts overstepping their role and the importance of giving deference to the</w:t>
      </w:r>
      <w:r w:rsidR="00BC7ABB" w:rsidRPr="00586CEB">
        <w:rPr>
          <w:rFonts w:ascii="Times New Roman" w:eastAsia="Times New Roman" w:hAnsi="Times New Roman" w:cs="Times New Roman"/>
          <w:color w:val="FF0000"/>
          <w:sz w:val="28"/>
          <w:szCs w:val="28"/>
        </w:rPr>
        <w:t xml:space="preserve"> legislature</w:t>
      </w:r>
      <w:r w:rsidRPr="00586CEB">
        <w:rPr>
          <w:rFonts w:ascii="Times New Roman" w:eastAsia="Times New Roman" w:hAnsi="Times New Roman" w:cs="Times New Roman"/>
          <w:color w:val="FF0000"/>
          <w:sz w:val="28"/>
          <w:szCs w:val="28"/>
        </w:rPr>
        <w:t xml:space="preserve">, </w:t>
      </w:r>
      <w:r w:rsidR="0069590E" w:rsidRPr="00586CEB">
        <w:rPr>
          <w:rFonts w:ascii="Times New Roman" w:eastAsia="Times New Roman" w:hAnsi="Times New Roman" w:cs="Times New Roman"/>
          <w:color w:val="FF0000"/>
          <w:sz w:val="28"/>
          <w:szCs w:val="28"/>
        </w:rPr>
        <w:t xml:space="preserve">that has been echoed by the majority in Gosselin and Sharma </w:t>
      </w:r>
    </w:p>
    <w:p w14:paraId="236BB1EF" w14:textId="4F433BD6" w:rsidR="00F47695" w:rsidRPr="00586CEB" w:rsidRDefault="0069590E" w:rsidP="0069590E">
      <w:pPr>
        <w:pStyle w:val="ListParagraph"/>
        <w:numPr>
          <w:ilvl w:val="1"/>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P</w:t>
      </w:r>
      <w:r w:rsidR="00F47695" w:rsidRPr="00586CEB">
        <w:rPr>
          <w:rFonts w:ascii="Times New Roman" w:eastAsia="Times New Roman" w:hAnsi="Times New Roman" w:cs="Times New Roman"/>
          <w:color w:val="FF0000"/>
          <w:sz w:val="28"/>
          <w:szCs w:val="28"/>
        </w:rPr>
        <w:t xml:space="preserve">articularly </w:t>
      </w:r>
      <w:r w:rsidRPr="00586CEB">
        <w:rPr>
          <w:rFonts w:ascii="Times New Roman" w:eastAsia="Times New Roman" w:hAnsi="Times New Roman" w:cs="Times New Roman"/>
          <w:color w:val="FF0000"/>
          <w:sz w:val="28"/>
          <w:szCs w:val="28"/>
        </w:rPr>
        <w:t>when it concerns the allocation of</w:t>
      </w:r>
      <w:r w:rsidR="00F47695" w:rsidRPr="00586CEB">
        <w:rPr>
          <w:rFonts w:ascii="Times New Roman" w:eastAsia="Times New Roman" w:hAnsi="Times New Roman" w:cs="Times New Roman"/>
          <w:color w:val="FF0000"/>
          <w:sz w:val="28"/>
          <w:szCs w:val="28"/>
        </w:rPr>
        <w:t xml:space="preserve"> social benefits and resource allocation disputes </w:t>
      </w:r>
    </w:p>
    <w:p w14:paraId="4E67DDFE" w14:textId="77777777" w:rsidR="00A66F94" w:rsidRPr="00586CEB" w:rsidRDefault="00A66F94" w:rsidP="00A66F94">
      <w:pPr>
        <w:spacing w:line="240" w:lineRule="auto"/>
        <w:jc w:val="both"/>
        <w:rPr>
          <w:rFonts w:ascii="Times New Roman" w:eastAsia="Times New Roman" w:hAnsi="Times New Roman" w:cs="Times New Roman"/>
          <w:color w:val="FF0000"/>
          <w:sz w:val="28"/>
          <w:szCs w:val="28"/>
        </w:rPr>
      </w:pPr>
    </w:p>
    <w:p w14:paraId="6DEBCE76" w14:textId="5FE9CDD2" w:rsidR="00A66F94" w:rsidRPr="00586CEB" w:rsidRDefault="00A66F94" w:rsidP="00A66F94">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Alliance Facts </w:t>
      </w:r>
    </w:p>
    <w:p w14:paraId="1A613860" w14:textId="77777777" w:rsidR="00A66F94" w:rsidRPr="00586CEB" w:rsidRDefault="00A66F94" w:rsidP="00A66F94">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Supreme Court of Canada declared Sections of Quebec’s Pay Equity Act unconstitutional for violating s. 15(1) of the Charter. </w:t>
      </w:r>
    </w:p>
    <w:p w14:paraId="70365523" w14:textId="630A3A08" w:rsidR="00A66F94" w:rsidRPr="00586CEB" w:rsidRDefault="00A66F94" w:rsidP="00A66F94">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These provisions delayed pay adjustments for wage inequities, effectively tolerating pay discrimination for up to five years.</w:t>
      </w:r>
    </w:p>
    <w:p w14:paraId="3D5B2A72" w14:textId="1FC6A59D" w:rsidR="00A66F94" w:rsidRPr="00586CEB" w:rsidRDefault="00A66F94" w:rsidP="00A66F94">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This aggravated inequality that the act was indeed meant to protect against</w:t>
      </w:r>
    </w:p>
    <w:p w14:paraId="43BEAF6E" w14:textId="77777777" w:rsidR="002A75E2" w:rsidRDefault="002A75E2">
      <w:pPr>
        <w:spacing w:before="240" w:after="240" w:line="240" w:lineRule="auto"/>
        <w:jc w:val="both"/>
        <w:rPr>
          <w:rFonts w:ascii="Times New Roman" w:eastAsia="Times New Roman" w:hAnsi="Times New Roman" w:cs="Times New Roman"/>
          <w:sz w:val="28"/>
          <w:szCs w:val="28"/>
        </w:rPr>
      </w:pPr>
    </w:p>
    <w:p w14:paraId="58BAADE0" w14:textId="77777777" w:rsidR="002A75E2" w:rsidRDefault="002A75E2">
      <w:pPr>
        <w:spacing w:before="240" w:after="240" w:line="240" w:lineRule="auto"/>
        <w:jc w:val="both"/>
        <w:rPr>
          <w:rFonts w:ascii="Times New Roman" w:eastAsia="Times New Roman" w:hAnsi="Times New Roman" w:cs="Times New Roman"/>
          <w:sz w:val="28"/>
          <w:szCs w:val="28"/>
        </w:rPr>
      </w:pPr>
    </w:p>
    <w:p w14:paraId="28B9850B" w14:textId="77777777" w:rsidR="002A75E2" w:rsidRDefault="002A75E2">
      <w:pPr>
        <w:spacing w:before="240" w:after="240" w:line="240" w:lineRule="auto"/>
        <w:jc w:val="both"/>
        <w:rPr>
          <w:rFonts w:ascii="Times New Roman" w:eastAsia="Times New Roman" w:hAnsi="Times New Roman" w:cs="Times New Roman"/>
          <w:sz w:val="28"/>
          <w:szCs w:val="28"/>
        </w:rPr>
      </w:pPr>
    </w:p>
    <w:p w14:paraId="0000001D" w14:textId="2669178F" w:rsidR="00934474" w:rsidRPr="00586CEB" w:rsidRDefault="00000000">
      <w:pPr>
        <w:spacing w:before="240" w:after="240"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Secondly,</w:t>
      </w:r>
      <w:r w:rsidR="00E0259C" w:rsidRPr="00586CEB">
        <w:rPr>
          <w:rFonts w:ascii="Times New Roman" w:eastAsia="Times New Roman" w:hAnsi="Times New Roman" w:cs="Times New Roman"/>
          <w:sz w:val="28"/>
          <w:szCs w:val="28"/>
        </w:rPr>
        <w:t xml:space="preserve"> turning </w:t>
      </w:r>
      <w:r w:rsidR="005E5DFD" w:rsidRPr="00586CEB">
        <w:rPr>
          <w:rFonts w:ascii="Times New Roman" w:eastAsia="Times New Roman" w:hAnsi="Times New Roman" w:cs="Times New Roman"/>
          <w:sz w:val="28"/>
          <w:szCs w:val="28"/>
        </w:rPr>
        <w:t>to</w:t>
      </w:r>
      <w:r w:rsidR="00E0259C" w:rsidRPr="00586CEB">
        <w:rPr>
          <w:rFonts w:ascii="Times New Roman" w:eastAsia="Times New Roman" w:hAnsi="Times New Roman" w:cs="Times New Roman"/>
          <w:sz w:val="28"/>
          <w:szCs w:val="28"/>
        </w:rPr>
        <w:t xml:space="preserve"> our submissions at paragraph 66 of the respondent factum,</w:t>
      </w:r>
      <w:r w:rsidRPr="00586CEB">
        <w:rPr>
          <w:rFonts w:ascii="Times New Roman" w:eastAsia="Times New Roman" w:hAnsi="Times New Roman" w:cs="Times New Roman"/>
          <w:sz w:val="28"/>
          <w:szCs w:val="28"/>
        </w:rPr>
        <w:t xml:space="preserve"> </w:t>
      </w:r>
      <w:r w:rsidR="00B702A4" w:rsidRPr="00586CEB">
        <w:rPr>
          <w:rFonts w:ascii="Times New Roman" w:eastAsia="Times New Roman" w:hAnsi="Times New Roman" w:cs="Times New Roman"/>
          <w:sz w:val="28"/>
          <w:szCs w:val="28"/>
        </w:rPr>
        <w:t xml:space="preserve">in the alternative, </w:t>
      </w:r>
      <w:r w:rsidRPr="00586CEB">
        <w:rPr>
          <w:rFonts w:ascii="Times New Roman" w:eastAsia="Times New Roman" w:hAnsi="Times New Roman" w:cs="Times New Roman"/>
          <w:sz w:val="28"/>
          <w:szCs w:val="28"/>
        </w:rPr>
        <w:t xml:space="preserve">the New Regulations are also genuinely ameliorative for residents over the age of 30. </w:t>
      </w:r>
      <w:r w:rsidR="005207C6" w:rsidRPr="00586CEB">
        <w:rPr>
          <w:rFonts w:ascii="Times New Roman" w:eastAsia="Times New Roman" w:hAnsi="Times New Roman" w:cs="Times New Roman"/>
          <w:sz w:val="28"/>
          <w:szCs w:val="28"/>
        </w:rPr>
        <w:t>To be considered an ameliorative program, the program must be directed at improving the situation of a group that needs ameliorative assistance (</w:t>
      </w:r>
      <w:r w:rsidR="00E0259C" w:rsidRPr="00586CEB">
        <w:rPr>
          <w:rFonts w:ascii="Times New Roman" w:eastAsia="Times New Roman" w:hAnsi="Times New Roman" w:cs="Times New Roman"/>
          <w:sz w:val="28"/>
          <w:szCs w:val="28"/>
        </w:rPr>
        <w:t xml:space="preserve">RF at 60 citing </w:t>
      </w:r>
      <w:r w:rsidR="005207C6" w:rsidRPr="00586CEB">
        <w:rPr>
          <w:rFonts w:ascii="Times New Roman" w:eastAsia="Times New Roman" w:hAnsi="Times New Roman" w:cs="Times New Roman"/>
          <w:i/>
          <w:iCs/>
          <w:sz w:val="28"/>
          <w:szCs w:val="28"/>
        </w:rPr>
        <w:t>Kapp at 41</w:t>
      </w:r>
      <w:r w:rsidR="005207C6" w:rsidRPr="00586CEB">
        <w:rPr>
          <w:rFonts w:ascii="Times New Roman" w:eastAsia="Times New Roman" w:hAnsi="Times New Roman" w:cs="Times New Roman"/>
          <w:sz w:val="28"/>
          <w:szCs w:val="28"/>
        </w:rPr>
        <w:t xml:space="preserve">). The structure of the new regulations allows the government to address one of the GNOA’s purposes, that being </w:t>
      </w:r>
      <w:r w:rsidR="005207C6" w:rsidRPr="00586CEB">
        <w:rPr>
          <w:rFonts w:ascii="Times New Roman" w:hAnsi="Times New Roman" w:cs="Times New Roman"/>
          <w:color w:val="000000"/>
          <w:sz w:val="28"/>
          <w:szCs w:val="28"/>
          <w:lang w:val="en-US"/>
        </w:rPr>
        <w:t>provide income supports to eligible persons and effectively serving residents of northern Ontario who need financial assistance</w:t>
      </w:r>
      <w:r w:rsidR="00861E68" w:rsidRPr="00586CEB">
        <w:rPr>
          <w:rFonts w:ascii="Times New Roman" w:hAnsi="Times New Roman" w:cs="Times New Roman"/>
          <w:color w:val="000000"/>
          <w:sz w:val="28"/>
          <w:szCs w:val="28"/>
          <w:lang w:val="en-US"/>
        </w:rPr>
        <w:t xml:space="preserve"> (RF at 66)</w:t>
      </w:r>
      <w:r w:rsidR="005207C6" w:rsidRPr="00586CEB">
        <w:rPr>
          <w:rFonts w:ascii="Times New Roman" w:hAnsi="Times New Roman" w:cs="Times New Roman"/>
          <w:color w:val="000000"/>
          <w:sz w:val="28"/>
          <w:szCs w:val="28"/>
          <w:lang w:val="en-US"/>
        </w:rPr>
        <w:t>.</w:t>
      </w:r>
      <w:r w:rsidR="005207C6" w:rsidRPr="00586CEB">
        <w:rPr>
          <w:rFonts w:ascii="AdobeClean-Regular" w:hAnsi="AdobeClean-Regular" w:cs="AdobeClean-Regular"/>
          <w:color w:val="000000"/>
          <w:sz w:val="28"/>
          <w:szCs w:val="28"/>
          <w:lang w:val="en-US"/>
        </w:rPr>
        <w:t xml:space="preserve"> </w:t>
      </w:r>
      <w:r w:rsidRPr="00586CEB">
        <w:rPr>
          <w:rFonts w:ascii="Times New Roman" w:eastAsia="Times New Roman" w:hAnsi="Times New Roman" w:cs="Times New Roman"/>
          <w:sz w:val="28"/>
          <w:szCs w:val="28"/>
        </w:rPr>
        <w:t xml:space="preserve">In </w:t>
      </w:r>
      <w:r w:rsidRPr="00586CEB">
        <w:rPr>
          <w:rFonts w:ascii="Times New Roman" w:eastAsia="Times New Roman" w:hAnsi="Times New Roman" w:cs="Times New Roman"/>
          <w:i/>
          <w:sz w:val="28"/>
          <w:szCs w:val="28"/>
        </w:rPr>
        <w:t>Cunningham</w:t>
      </w:r>
      <w:r w:rsidRPr="00586CEB">
        <w:rPr>
          <w:rFonts w:ascii="Times New Roman" w:eastAsia="Times New Roman" w:hAnsi="Times New Roman" w:cs="Times New Roman"/>
          <w:sz w:val="28"/>
          <w:szCs w:val="28"/>
        </w:rPr>
        <w:t>, this Court affirmed that governments are not required to assist all members of a disadvantaged group at the same time or in the same way</w:t>
      </w:r>
      <w:r w:rsidR="00E0259C" w:rsidRPr="00586CEB">
        <w:rPr>
          <w:rFonts w:ascii="Times New Roman" w:eastAsia="Times New Roman" w:hAnsi="Times New Roman" w:cs="Times New Roman"/>
          <w:sz w:val="28"/>
          <w:szCs w:val="28"/>
        </w:rPr>
        <w:t xml:space="preserve"> (RF at 66)</w:t>
      </w:r>
      <w:r w:rsidRPr="00586CEB">
        <w:rPr>
          <w:rFonts w:ascii="Times New Roman" w:eastAsia="Times New Roman" w:hAnsi="Times New Roman" w:cs="Times New Roman"/>
          <w:sz w:val="28"/>
          <w:szCs w:val="28"/>
        </w:rPr>
        <w:t>. Targeting subsets of disadvantaged groups is not only permissible but necessary to achieve the specific goals of ameliorative programs</w:t>
      </w:r>
      <w:r w:rsidR="00E0259C" w:rsidRPr="00586CEB">
        <w:rPr>
          <w:rFonts w:ascii="Times New Roman" w:eastAsia="Times New Roman" w:hAnsi="Times New Roman" w:cs="Times New Roman"/>
          <w:sz w:val="28"/>
          <w:szCs w:val="28"/>
        </w:rPr>
        <w:t xml:space="preserve"> (RF at 66)</w:t>
      </w:r>
      <w:r w:rsidRPr="00586CEB">
        <w:rPr>
          <w:rFonts w:ascii="Times New Roman" w:eastAsia="Times New Roman" w:hAnsi="Times New Roman" w:cs="Times New Roman"/>
          <w:sz w:val="28"/>
          <w:szCs w:val="28"/>
        </w:rPr>
        <w:t xml:space="preserve">. </w:t>
      </w:r>
      <w:r w:rsidR="005207C6" w:rsidRPr="00586CEB">
        <w:rPr>
          <w:rFonts w:ascii="Times New Roman" w:eastAsia="Times New Roman" w:hAnsi="Times New Roman" w:cs="Times New Roman"/>
          <w:sz w:val="28"/>
          <w:szCs w:val="28"/>
        </w:rPr>
        <w:t>Older residents</w:t>
      </w:r>
      <w:r w:rsidR="00BA0E1F" w:rsidRPr="00586CEB">
        <w:rPr>
          <w:rFonts w:ascii="Times New Roman" w:eastAsia="Times New Roman" w:hAnsi="Times New Roman" w:cs="Times New Roman"/>
          <w:sz w:val="28"/>
          <w:szCs w:val="28"/>
        </w:rPr>
        <w:t xml:space="preserve"> living in poverty</w:t>
      </w:r>
      <w:r w:rsidR="005207C6" w:rsidRPr="00586CEB">
        <w:rPr>
          <w:rFonts w:ascii="Times New Roman" w:eastAsia="Times New Roman" w:hAnsi="Times New Roman" w:cs="Times New Roman"/>
          <w:sz w:val="28"/>
          <w:szCs w:val="28"/>
        </w:rPr>
        <w:t xml:space="preserve"> benefit directly from the Basic Income Benefit (BIB)</w:t>
      </w:r>
      <w:r w:rsidR="00BA0E1F" w:rsidRPr="00586CEB">
        <w:rPr>
          <w:rFonts w:ascii="Times New Roman" w:eastAsia="Times New Roman" w:hAnsi="Times New Roman" w:cs="Times New Roman"/>
          <w:sz w:val="28"/>
          <w:szCs w:val="28"/>
        </w:rPr>
        <w:t>.</w:t>
      </w:r>
      <w:r w:rsidR="005207C6" w:rsidRPr="00586CEB">
        <w:rPr>
          <w:rFonts w:ascii="Times New Roman" w:eastAsia="Times New Roman" w:hAnsi="Times New Roman" w:cs="Times New Roman"/>
          <w:sz w:val="28"/>
          <w:szCs w:val="28"/>
        </w:rPr>
        <w:t xml:space="preserve"> </w:t>
      </w:r>
      <w:r w:rsidR="00BA0E1F" w:rsidRPr="00586CEB">
        <w:rPr>
          <w:rFonts w:ascii="Times New Roman" w:eastAsia="Times New Roman" w:hAnsi="Times New Roman" w:cs="Times New Roman"/>
          <w:sz w:val="28"/>
          <w:szCs w:val="28"/>
        </w:rPr>
        <w:t>They automatically qualify for</w:t>
      </w:r>
      <w:r w:rsidR="005207C6" w:rsidRPr="00586CEB">
        <w:rPr>
          <w:rFonts w:ascii="Times New Roman" w:eastAsia="Times New Roman" w:hAnsi="Times New Roman" w:cs="Times New Roman"/>
          <w:sz w:val="28"/>
          <w:szCs w:val="28"/>
        </w:rPr>
        <w:t xml:space="preserve"> benefit</w:t>
      </w:r>
      <w:r w:rsidR="00BA0E1F" w:rsidRPr="00586CEB">
        <w:rPr>
          <w:rFonts w:ascii="Times New Roman" w:eastAsia="Times New Roman" w:hAnsi="Times New Roman" w:cs="Times New Roman"/>
          <w:sz w:val="28"/>
          <w:szCs w:val="28"/>
        </w:rPr>
        <w:t>s</w:t>
      </w:r>
      <w:r w:rsidR="005207C6" w:rsidRPr="00586CEB">
        <w:rPr>
          <w:rFonts w:ascii="Times New Roman" w:eastAsia="Times New Roman" w:hAnsi="Times New Roman" w:cs="Times New Roman"/>
          <w:sz w:val="28"/>
          <w:szCs w:val="28"/>
        </w:rPr>
        <w:t xml:space="preserve">, </w:t>
      </w:r>
      <w:r w:rsidR="00BA0E1F" w:rsidRPr="00586CEB">
        <w:rPr>
          <w:rFonts w:ascii="Times New Roman" w:eastAsia="Times New Roman" w:hAnsi="Times New Roman" w:cs="Times New Roman"/>
          <w:sz w:val="28"/>
          <w:szCs w:val="28"/>
        </w:rPr>
        <w:t xml:space="preserve">which </w:t>
      </w:r>
      <w:r w:rsidR="005207C6" w:rsidRPr="00586CEB">
        <w:rPr>
          <w:rFonts w:ascii="Times New Roman" w:eastAsia="Times New Roman" w:hAnsi="Times New Roman" w:cs="Times New Roman"/>
          <w:sz w:val="28"/>
          <w:szCs w:val="28"/>
        </w:rPr>
        <w:t>address</w:t>
      </w:r>
      <w:r w:rsidR="00861E68" w:rsidRPr="00586CEB">
        <w:rPr>
          <w:rFonts w:ascii="Times New Roman" w:eastAsia="Times New Roman" w:hAnsi="Times New Roman" w:cs="Times New Roman"/>
          <w:sz w:val="28"/>
          <w:szCs w:val="28"/>
        </w:rPr>
        <w:t>es</w:t>
      </w:r>
      <w:r w:rsidR="005207C6" w:rsidRPr="00586CEB">
        <w:rPr>
          <w:rFonts w:ascii="Times New Roman" w:eastAsia="Times New Roman" w:hAnsi="Times New Roman" w:cs="Times New Roman"/>
          <w:sz w:val="28"/>
          <w:szCs w:val="28"/>
        </w:rPr>
        <w:t xml:space="preserve"> their specific challenges, </w:t>
      </w:r>
      <w:r w:rsidR="00BA0E1F" w:rsidRPr="00586CEB">
        <w:rPr>
          <w:rFonts w:ascii="Times New Roman" w:eastAsia="Times New Roman" w:hAnsi="Times New Roman" w:cs="Times New Roman"/>
          <w:sz w:val="28"/>
          <w:szCs w:val="28"/>
        </w:rPr>
        <w:t>namely</w:t>
      </w:r>
      <w:r w:rsidR="005207C6" w:rsidRPr="00586CEB">
        <w:rPr>
          <w:rFonts w:ascii="Times New Roman" w:eastAsia="Times New Roman" w:hAnsi="Times New Roman" w:cs="Times New Roman"/>
          <w:sz w:val="28"/>
          <w:szCs w:val="28"/>
        </w:rPr>
        <w:t xml:space="preserve"> a reduced ability to participate in the workforce, </w:t>
      </w:r>
      <w:r w:rsidR="00BA0E1F" w:rsidRPr="00586CEB">
        <w:rPr>
          <w:rFonts w:ascii="Times New Roman" w:eastAsia="Times New Roman" w:hAnsi="Times New Roman" w:cs="Times New Roman"/>
          <w:sz w:val="28"/>
          <w:szCs w:val="28"/>
        </w:rPr>
        <w:t>thereby</w:t>
      </w:r>
      <w:r w:rsidR="005207C6" w:rsidRPr="00586CEB">
        <w:rPr>
          <w:rFonts w:ascii="Times New Roman" w:eastAsia="Times New Roman" w:hAnsi="Times New Roman" w:cs="Times New Roman"/>
          <w:sz w:val="28"/>
          <w:szCs w:val="28"/>
        </w:rPr>
        <w:t xml:space="preserve"> </w:t>
      </w:r>
      <w:r w:rsidR="002C73EB" w:rsidRPr="00586CEB">
        <w:rPr>
          <w:rFonts w:ascii="Times New Roman" w:eastAsia="Times New Roman" w:hAnsi="Times New Roman" w:cs="Times New Roman"/>
          <w:sz w:val="28"/>
          <w:szCs w:val="28"/>
        </w:rPr>
        <w:t xml:space="preserve">serving </w:t>
      </w:r>
      <w:r w:rsidR="005207C6" w:rsidRPr="00586CEB">
        <w:rPr>
          <w:rFonts w:ascii="Times New Roman" w:eastAsia="Times New Roman" w:hAnsi="Times New Roman" w:cs="Times New Roman"/>
          <w:sz w:val="28"/>
          <w:szCs w:val="28"/>
        </w:rPr>
        <w:t>the</w:t>
      </w:r>
      <w:r w:rsidR="002C73EB" w:rsidRPr="00586CEB">
        <w:rPr>
          <w:rFonts w:ascii="Times New Roman" w:eastAsia="Times New Roman" w:hAnsi="Times New Roman" w:cs="Times New Roman"/>
          <w:sz w:val="28"/>
          <w:szCs w:val="28"/>
        </w:rPr>
        <w:t xml:space="preserve"> ameliorative purpose</w:t>
      </w:r>
      <w:r w:rsidR="005207C6" w:rsidRPr="00586CEB">
        <w:rPr>
          <w:rFonts w:ascii="Times New Roman" w:eastAsia="Times New Roman" w:hAnsi="Times New Roman" w:cs="Times New Roman"/>
          <w:sz w:val="28"/>
          <w:szCs w:val="28"/>
        </w:rPr>
        <w:t xml:space="preserve"> of this act</w:t>
      </w:r>
      <w:r w:rsidR="00BA0E1F" w:rsidRPr="00586CEB">
        <w:rPr>
          <w:rFonts w:ascii="Times New Roman" w:eastAsia="Times New Roman" w:hAnsi="Times New Roman" w:cs="Times New Roman"/>
          <w:sz w:val="28"/>
          <w:szCs w:val="28"/>
        </w:rPr>
        <w:t xml:space="preserve"> in </w:t>
      </w:r>
      <w:proofErr w:type="gramStart"/>
      <w:r w:rsidR="00BA0E1F" w:rsidRPr="00586CEB">
        <w:rPr>
          <w:rFonts w:ascii="Times New Roman" w:eastAsia="Times New Roman" w:hAnsi="Times New Roman" w:cs="Times New Roman"/>
          <w:sz w:val="28"/>
          <w:szCs w:val="28"/>
        </w:rPr>
        <w:t>providing assistance to</w:t>
      </w:r>
      <w:proofErr w:type="gramEnd"/>
      <w:r w:rsidR="00BA0E1F" w:rsidRPr="00586CEB">
        <w:rPr>
          <w:rFonts w:ascii="Times New Roman" w:eastAsia="Times New Roman" w:hAnsi="Times New Roman" w:cs="Times New Roman"/>
          <w:sz w:val="28"/>
          <w:szCs w:val="28"/>
        </w:rPr>
        <w:t xml:space="preserve"> those in </w:t>
      </w:r>
      <w:r w:rsidR="00815D82" w:rsidRPr="00586CEB">
        <w:rPr>
          <w:rFonts w:ascii="Times New Roman" w:eastAsia="Times New Roman" w:hAnsi="Times New Roman" w:cs="Times New Roman"/>
          <w:sz w:val="28"/>
          <w:szCs w:val="28"/>
        </w:rPr>
        <w:t>need</w:t>
      </w:r>
      <w:r w:rsidR="00861E68" w:rsidRPr="00586CEB">
        <w:rPr>
          <w:rFonts w:ascii="Times New Roman" w:eastAsia="Times New Roman" w:hAnsi="Times New Roman" w:cs="Times New Roman"/>
          <w:sz w:val="28"/>
          <w:szCs w:val="28"/>
        </w:rPr>
        <w:t xml:space="preserve"> (</w:t>
      </w:r>
      <w:r w:rsidR="00E0259C" w:rsidRPr="00586CEB">
        <w:rPr>
          <w:rFonts w:ascii="Times New Roman" w:eastAsia="Times New Roman" w:hAnsi="Times New Roman" w:cs="Times New Roman"/>
          <w:sz w:val="28"/>
          <w:szCs w:val="28"/>
        </w:rPr>
        <w:t xml:space="preserve">RF at 67 and 68 citing </w:t>
      </w:r>
      <w:r w:rsidR="00861E68" w:rsidRPr="00586CEB">
        <w:rPr>
          <w:rFonts w:ascii="Times New Roman" w:eastAsia="Times New Roman" w:hAnsi="Times New Roman" w:cs="Times New Roman"/>
          <w:i/>
          <w:iCs/>
          <w:sz w:val="28"/>
          <w:szCs w:val="28"/>
        </w:rPr>
        <w:t>Law</w:t>
      </w:r>
      <w:r w:rsidR="00E0259C" w:rsidRPr="00586CEB">
        <w:rPr>
          <w:rFonts w:ascii="Times New Roman" w:eastAsia="Times New Roman" w:hAnsi="Times New Roman" w:cs="Times New Roman"/>
          <w:i/>
          <w:iCs/>
          <w:sz w:val="28"/>
          <w:szCs w:val="28"/>
        </w:rPr>
        <w:t xml:space="preserve"> at para 101</w:t>
      </w:r>
      <w:r w:rsidR="00861E68" w:rsidRPr="00586CEB">
        <w:rPr>
          <w:rFonts w:ascii="Times New Roman" w:eastAsia="Times New Roman" w:hAnsi="Times New Roman" w:cs="Times New Roman"/>
          <w:sz w:val="28"/>
          <w:szCs w:val="28"/>
        </w:rPr>
        <w:t>)</w:t>
      </w:r>
      <w:r w:rsidR="002C73EB" w:rsidRPr="00586CEB">
        <w:rPr>
          <w:rFonts w:ascii="Times New Roman" w:eastAsia="Times New Roman" w:hAnsi="Times New Roman" w:cs="Times New Roman"/>
          <w:sz w:val="28"/>
          <w:szCs w:val="28"/>
        </w:rPr>
        <w:t xml:space="preserve">. </w:t>
      </w:r>
    </w:p>
    <w:p w14:paraId="404848E2"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77337E1E"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25FC10BB"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6094A19D"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103C9D9F"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085509C6"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4B29BC4B"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1E57EE54"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0822B4F8"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31F7A6CA"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48E93171"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59ACE9B6"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58543813"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172225C5"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3BBE2E58"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734219BD"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0D0802D9"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56B5CE8C"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7D14774E"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3853B13A"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35358A96"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794CACCE"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2A7252EE" w14:textId="77777777" w:rsidR="002A75E2" w:rsidRDefault="002A75E2" w:rsidP="00861E68">
      <w:pPr>
        <w:spacing w:line="240" w:lineRule="auto"/>
        <w:jc w:val="both"/>
        <w:rPr>
          <w:rFonts w:ascii="Times New Roman" w:eastAsia="Times New Roman" w:hAnsi="Times New Roman" w:cs="Times New Roman"/>
          <w:color w:val="FF0000"/>
          <w:sz w:val="28"/>
          <w:szCs w:val="28"/>
        </w:rPr>
      </w:pPr>
    </w:p>
    <w:p w14:paraId="6473F35F" w14:textId="0D8E62D6" w:rsidR="00861E68" w:rsidRPr="00586CEB" w:rsidRDefault="00861E68" w:rsidP="00861E68">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lastRenderedPageBreak/>
        <w:t>Law Facts</w:t>
      </w:r>
    </w:p>
    <w:p w14:paraId="795CC5DE" w14:textId="17306BD5" w:rsidR="00861E68" w:rsidRPr="00586CEB" w:rsidRDefault="00861E68" w:rsidP="00861E6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In Law v Canada, Nancy Law sought survivor benefits </w:t>
      </w:r>
      <w:r w:rsidR="00E60531" w:rsidRPr="00586CEB">
        <w:rPr>
          <w:rFonts w:ascii="Times New Roman" w:eastAsia="Times New Roman" w:hAnsi="Times New Roman" w:cs="Times New Roman"/>
          <w:color w:val="FF0000"/>
          <w:sz w:val="28"/>
          <w:szCs w:val="28"/>
        </w:rPr>
        <w:t>under</w:t>
      </w:r>
      <w:r w:rsidRPr="00586CEB">
        <w:rPr>
          <w:rFonts w:ascii="Times New Roman" w:eastAsia="Times New Roman" w:hAnsi="Times New Roman" w:cs="Times New Roman"/>
          <w:color w:val="FF0000"/>
          <w:sz w:val="28"/>
          <w:szCs w:val="28"/>
        </w:rPr>
        <w:t xml:space="preserve"> the Canada Pension Plan (CPP). The CPP only provides benefits to people over 35, disabled, or with dependents at the time of the deceased's death.</w:t>
      </w:r>
    </w:p>
    <w:p w14:paraId="634A272F" w14:textId="2ED88704" w:rsidR="00E60531" w:rsidRPr="00586CEB" w:rsidRDefault="00E60531" w:rsidP="00861E6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appellant was under 30, not disabled and had no dependents but the court found that young people were not discriminated against in this case and the appellant was able to find other work to supplement this income and that the law furthered a valid ameliorative purpose under section 15(2) </w:t>
      </w:r>
    </w:p>
    <w:p w14:paraId="2493DE6E" w14:textId="21DA71AE" w:rsidR="00817F6C" w:rsidRPr="00586CEB" w:rsidRDefault="00817F6C" w:rsidP="00861E6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Was not a section 15 violation </w:t>
      </w:r>
    </w:p>
    <w:p w14:paraId="506C2E1C" w14:textId="77777777" w:rsidR="00E0259C" w:rsidRPr="00586CEB" w:rsidRDefault="00E0259C" w:rsidP="00E0259C">
      <w:pPr>
        <w:spacing w:line="240" w:lineRule="auto"/>
        <w:jc w:val="both"/>
        <w:rPr>
          <w:rFonts w:ascii="Times New Roman" w:eastAsia="Times New Roman" w:hAnsi="Times New Roman" w:cs="Times New Roman"/>
          <w:color w:val="FF0000"/>
          <w:sz w:val="28"/>
          <w:szCs w:val="28"/>
        </w:rPr>
      </w:pPr>
    </w:p>
    <w:p w14:paraId="3F73DF15" w14:textId="25D4FE48" w:rsidR="00E0259C" w:rsidRPr="00586CEB" w:rsidRDefault="00E0259C" w:rsidP="00E0259C">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Cunningham Facts </w:t>
      </w:r>
    </w:p>
    <w:p w14:paraId="0EB66C69" w14:textId="33CFFBF4" w:rsidR="00E0259C" w:rsidRPr="00586CEB" w:rsidRDefault="00E0259C" w:rsidP="00E0259C">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Alberta Métis Settlement Act (MSA) excluded individuals who voluntarily obtained Indian Status after 1990 from Métis settlement membership. The Cunningham family, long-standing members of the </w:t>
      </w:r>
      <w:proofErr w:type="spellStart"/>
      <w:r w:rsidRPr="00586CEB">
        <w:rPr>
          <w:rFonts w:ascii="Times New Roman" w:eastAsia="Times New Roman" w:hAnsi="Times New Roman" w:cs="Times New Roman"/>
          <w:color w:val="FF0000"/>
          <w:sz w:val="28"/>
          <w:szCs w:val="28"/>
        </w:rPr>
        <w:t>Peavine</w:t>
      </w:r>
      <w:proofErr w:type="spellEnd"/>
      <w:r w:rsidRPr="00586CEB">
        <w:rPr>
          <w:rFonts w:ascii="Times New Roman" w:eastAsia="Times New Roman" w:hAnsi="Times New Roman" w:cs="Times New Roman"/>
          <w:color w:val="FF0000"/>
          <w:sz w:val="28"/>
          <w:szCs w:val="28"/>
        </w:rPr>
        <w:t xml:space="preserve"> Métis Settlement, lost their membership after registering for Indian Status to access health benefits. They argued this was discriminatory, but the Supreme Court of Canada dismissed their claim, ruling that the exclusion was justified under s. 15(2) of the Charter as part of an affirmative action program supporting Métis self-governance.</w:t>
      </w:r>
    </w:p>
    <w:p w14:paraId="149A986B" w14:textId="77777777" w:rsidR="00D10878" w:rsidRPr="00586CEB" w:rsidRDefault="00D10878" w:rsidP="00D10878">
      <w:pPr>
        <w:spacing w:line="240" w:lineRule="auto"/>
        <w:jc w:val="both"/>
        <w:rPr>
          <w:rFonts w:ascii="Times New Roman" w:eastAsia="Times New Roman" w:hAnsi="Times New Roman" w:cs="Times New Roman"/>
          <w:color w:val="FF0000"/>
          <w:sz w:val="28"/>
          <w:szCs w:val="28"/>
        </w:rPr>
      </w:pPr>
    </w:p>
    <w:p w14:paraId="79F5CC6B" w14:textId="5C3F6608" w:rsidR="00D10878" w:rsidRPr="00586CEB" w:rsidRDefault="00D10878" w:rsidP="00D10878">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R v Kapp </w:t>
      </w:r>
    </w:p>
    <w:p w14:paraId="3B53161F" w14:textId="77777777" w:rsidR="00D10878" w:rsidRPr="00586CEB" w:rsidRDefault="00D10878" w:rsidP="00D1087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federal government introduced a program to increase Aboriginal participation in the commercial fishery by granting them special communal licenses to three bands and a 24-hour exclusive fishing period. </w:t>
      </w:r>
    </w:p>
    <w:p w14:paraId="1F67CC29" w14:textId="2544CE6F" w:rsidR="00D10878" w:rsidRPr="00586CEB" w:rsidRDefault="00D10878" w:rsidP="00D10878">
      <w:pPr>
        <w:pStyle w:val="ListParagraph"/>
        <w:numPr>
          <w:ilvl w:val="0"/>
          <w:numId w:val="2"/>
        </w:num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t xml:space="preserve">The appellants, who were mostly non-Aboriginal, fished during the prohibited time and were charged. </w:t>
      </w:r>
    </w:p>
    <w:p w14:paraId="67739348" w14:textId="77777777" w:rsidR="00E60239" w:rsidRPr="00586CEB" w:rsidRDefault="00D10878" w:rsidP="00C82475">
      <w:pPr>
        <w:pStyle w:val="ListParagraph"/>
        <w:numPr>
          <w:ilvl w:val="0"/>
          <w:numId w:val="2"/>
        </w:numPr>
        <w:spacing w:before="240" w:after="240"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color w:val="FF0000"/>
          <w:sz w:val="28"/>
          <w:szCs w:val="28"/>
        </w:rPr>
        <w:t>The court held that s. 25 of the Charter barred the s. 15 challenge, as it protects Aboriginal rights from being diminished by individual Charter claims</w:t>
      </w:r>
    </w:p>
    <w:p w14:paraId="1799D1C7" w14:textId="77777777" w:rsidR="002A75E2" w:rsidRDefault="002A75E2" w:rsidP="00E60239">
      <w:pPr>
        <w:spacing w:before="240" w:after="240" w:line="240" w:lineRule="auto"/>
        <w:jc w:val="both"/>
        <w:rPr>
          <w:rFonts w:ascii="Times New Roman" w:eastAsia="Times New Roman" w:hAnsi="Times New Roman" w:cs="Times New Roman"/>
          <w:sz w:val="28"/>
          <w:szCs w:val="28"/>
        </w:rPr>
      </w:pPr>
    </w:p>
    <w:p w14:paraId="4FFC7AC5" w14:textId="77777777" w:rsidR="002A75E2" w:rsidRDefault="002A75E2" w:rsidP="00E60239">
      <w:pPr>
        <w:spacing w:before="240" w:after="240" w:line="240" w:lineRule="auto"/>
        <w:jc w:val="both"/>
        <w:rPr>
          <w:rFonts w:ascii="Times New Roman" w:eastAsia="Times New Roman" w:hAnsi="Times New Roman" w:cs="Times New Roman"/>
          <w:sz w:val="28"/>
          <w:szCs w:val="28"/>
        </w:rPr>
      </w:pPr>
    </w:p>
    <w:p w14:paraId="00752298" w14:textId="77777777" w:rsidR="002A75E2" w:rsidRDefault="002A75E2" w:rsidP="00E60239">
      <w:pPr>
        <w:spacing w:before="240" w:after="240" w:line="240" w:lineRule="auto"/>
        <w:jc w:val="both"/>
        <w:rPr>
          <w:rFonts w:ascii="Times New Roman" w:eastAsia="Times New Roman" w:hAnsi="Times New Roman" w:cs="Times New Roman"/>
          <w:sz w:val="28"/>
          <w:szCs w:val="28"/>
        </w:rPr>
      </w:pPr>
    </w:p>
    <w:p w14:paraId="6E1BEF23" w14:textId="77777777" w:rsidR="002A75E2" w:rsidRDefault="002A75E2" w:rsidP="00E60239">
      <w:pPr>
        <w:spacing w:before="240" w:after="240" w:line="240" w:lineRule="auto"/>
        <w:jc w:val="both"/>
        <w:rPr>
          <w:rFonts w:ascii="Times New Roman" w:eastAsia="Times New Roman" w:hAnsi="Times New Roman" w:cs="Times New Roman"/>
          <w:sz w:val="28"/>
          <w:szCs w:val="28"/>
        </w:rPr>
      </w:pPr>
    </w:p>
    <w:p w14:paraId="09F4AB31" w14:textId="77777777" w:rsidR="002A75E2" w:rsidRDefault="002A75E2" w:rsidP="00E60239">
      <w:pPr>
        <w:spacing w:before="240" w:after="240" w:line="240" w:lineRule="auto"/>
        <w:jc w:val="both"/>
        <w:rPr>
          <w:rFonts w:ascii="Times New Roman" w:eastAsia="Times New Roman" w:hAnsi="Times New Roman" w:cs="Times New Roman"/>
          <w:sz w:val="28"/>
          <w:szCs w:val="28"/>
        </w:rPr>
      </w:pPr>
    </w:p>
    <w:p w14:paraId="37A23872" w14:textId="77777777" w:rsidR="002A75E2" w:rsidRDefault="002A75E2" w:rsidP="00E60239">
      <w:pPr>
        <w:spacing w:before="240" w:after="240" w:line="240" w:lineRule="auto"/>
        <w:jc w:val="both"/>
        <w:rPr>
          <w:rFonts w:ascii="Times New Roman" w:eastAsia="Times New Roman" w:hAnsi="Times New Roman" w:cs="Times New Roman"/>
          <w:sz w:val="28"/>
          <w:szCs w:val="28"/>
        </w:rPr>
      </w:pPr>
    </w:p>
    <w:p w14:paraId="0000001E" w14:textId="0D9F6995" w:rsidR="00934474" w:rsidRPr="00586CEB" w:rsidRDefault="00000000" w:rsidP="00E60239">
      <w:pPr>
        <w:spacing w:before="240" w:after="240"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Finally, the age-based distinctions in the New Regulations are rationally connected to their ameliorative purpose</w:t>
      </w:r>
      <w:r w:rsidR="00861E68" w:rsidRPr="00586CEB">
        <w:rPr>
          <w:rFonts w:ascii="Times New Roman" w:eastAsia="Times New Roman" w:hAnsi="Times New Roman" w:cs="Times New Roman"/>
          <w:sz w:val="28"/>
          <w:szCs w:val="28"/>
        </w:rPr>
        <w:t xml:space="preserve"> (RF at 69)</w:t>
      </w:r>
      <w:r w:rsidRPr="00586CEB">
        <w:rPr>
          <w:rFonts w:ascii="Times New Roman" w:eastAsia="Times New Roman" w:hAnsi="Times New Roman" w:cs="Times New Roman"/>
          <w:sz w:val="28"/>
          <w:szCs w:val="28"/>
        </w:rPr>
        <w:t xml:space="preserve">. As the Court in </w:t>
      </w:r>
      <w:r w:rsidRPr="00586CEB">
        <w:rPr>
          <w:rFonts w:ascii="Times New Roman" w:eastAsia="Times New Roman" w:hAnsi="Times New Roman" w:cs="Times New Roman"/>
          <w:i/>
          <w:sz w:val="28"/>
          <w:szCs w:val="28"/>
        </w:rPr>
        <w:t>Cunningham</w:t>
      </w:r>
      <w:r w:rsidRPr="00586CEB">
        <w:rPr>
          <w:rFonts w:ascii="Times New Roman" w:eastAsia="Times New Roman" w:hAnsi="Times New Roman" w:cs="Times New Roman"/>
          <w:sz w:val="28"/>
          <w:szCs w:val="28"/>
        </w:rPr>
        <w:t xml:space="preserve"> emphasized, section 15(2) permits distinctions that contribute to a program’s objective of alleviating disadvantage</w:t>
      </w:r>
      <w:r w:rsidR="00861E68" w:rsidRPr="00586CEB">
        <w:rPr>
          <w:rFonts w:ascii="Times New Roman" w:eastAsia="Times New Roman" w:hAnsi="Times New Roman" w:cs="Times New Roman"/>
          <w:sz w:val="28"/>
          <w:szCs w:val="28"/>
        </w:rPr>
        <w:t xml:space="preserve"> (RF at 69)</w:t>
      </w:r>
      <w:r w:rsidRPr="00586CEB">
        <w:rPr>
          <w:rFonts w:ascii="Times New Roman" w:eastAsia="Times New Roman" w:hAnsi="Times New Roman" w:cs="Times New Roman"/>
          <w:sz w:val="28"/>
          <w:szCs w:val="28"/>
        </w:rPr>
        <w:t xml:space="preserve">. </w:t>
      </w:r>
      <w:r w:rsidR="00BA0E1F" w:rsidRPr="00586CEB">
        <w:rPr>
          <w:rFonts w:ascii="Times New Roman" w:eastAsia="Times New Roman" w:hAnsi="Times New Roman" w:cs="Times New Roman"/>
          <w:sz w:val="28"/>
          <w:szCs w:val="28"/>
        </w:rPr>
        <w:t>Further, t</w:t>
      </w:r>
      <w:r w:rsidR="005207C6" w:rsidRPr="00586CEB">
        <w:rPr>
          <w:rFonts w:ascii="Times New Roman" w:eastAsia="Times New Roman" w:hAnsi="Times New Roman" w:cs="Times New Roman"/>
          <w:sz w:val="28"/>
          <w:szCs w:val="28"/>
        </w:rPr>
        <w:t xml:space="preserve">his Court in </w:t>
      </w:r>
      <w:r w:rsidR="005207C6" w:rsidRPr="00586CEB">
        <w:rPr>
          <w:rFonts w:ascii="Times New Roman" w:eastAsia="Times New Roman" w:hAnsi="Times New Roman" w:cs="Times New Roman"/>
          <w:i/>
          <w:sz w:val="28"/>
          <w:szCs w:val="28"/>
        </w:rPr>
        <w:t>Withler</w:t>
      </w:r>
      <w:r w:rsidR="005207C6" w:rsidRPr="00586CEB">
        <w:rPr>
          <w:rFonts w:ascii="Times New Roman" w:eastAsia="Times New Roman" w:hAnsi="Times New Roman" w:cs="Times New Roman"/>
          <w:sz w:val="28"/>
          <w:szCs w:val="28"/>
        </w:rPr>
        <w:t xml:space="preserve"> acknowledged that resource allocation within a benefits program need not be perfect</w:t>
      </w:r>
      <w:r w:rsidR="00D2378C" w:rsidRPr="00586CEB">
        <w:rPr>
          <w:rFonts w:ascii="Times New Roman" w:eastAsia="Times New Roman" w:hAnsi="Times New Roman" w:cs="Times New Roman"/>
          <w:sz w:val="28"/>
          <w:szCs w:val="28"/>
        </w:rPr>
        <w:t xml:space="preserve"> (RF at 70)</w:t>
      </w:r>
      <w:r w:rsidR="005207C6" w:rsidRPr="00586CEB">
        <w:rPr>
          <w:rFonts w:ascii="Times New Roman" w:eastAsia="Times New Roman" w:hAnsi="Times New Roman" w:cs="Times New Roman"/>
          <w:sz w:val="28"/>
          <w:szCs w:val="28"/>
        </w:rPr>
        <w:t xml:space="preserve">. What is required is a rational connection between the program’s distinctions and its objectives. </w:t>
      </w:r>
      <w:r w:rsidRPr="00586CEB">
        <w:rPr>
          <w:rFonts w:ascii="Times New Roman" w:eastAsia="Times New Roman" w:hAnsi="Times New Roman" w:cs="Times New Roman"/>
          <w:sz w:val="28"/>
          <w:szCs w:val="28"/>
        </w:rPr>
        <w:t>In the present case, the distinction between residents under and over the age of 30 are based on differing needs</w:t>
      </w:r>
      <w:r w:rsidR="00BA0E1F" w:rsidRPr="00586CEB">
        <w:rPr>
          <w:rFonts w:ascii="Times New Roman" w:eastAsia="Times New Roman" w:hAnsi="Times New Roman" w:cs="Times New Roman"/>
          <w:sz w:val="28"/>
          <w:szCs w:val="28"/>
        </w:rPr>
        <w:t xml:space="preserve"> and abilities</w:t>
      </w:r>
      <w:r w:rsidRPr="00586CEB">
        <w:rPr>
          <w:rFonts w:ascii="Times New Roman" w:eastAsia="Times New Roman" w:hAnsi="Times New Roman" w:cs="Times New Roman"/>
          <w:sz w:val="28"/>
          <w:szCs w:val="28"/>
        </w:rPr>
        <w:t xml:space="preserve">. </w:t>
      </w:r>
      <w:r w:rsidR="002C73EB" w:rsidRPr="00586CEB">
        <w:rPr>
          <w:rFonts w:ascii="Times New Roman" w:eastAsia="Times New Roman" w:hAnsi="Times New Roman" w:cs="Times New Roman"/>
          <w:sz w:val="28"/>
          <w:szCs w:val="28"/>
        </w:rPr>
        <w:t xml:space="preserve">This Court recognized in </w:t>
      </w:r>
      <w:r w:rsidR="002C73EB" w:rsidRPr="00586CEB">
        <w:rPr>
          <w:rFonts w:ascii="Times New Roman" w:eastAsia="Times New Roman" w:hAnsi="Times New Roman" w:cs="Times New Roman"/>
          <w:i/>
          <w:sz w:val="28"/>
          <w:szCs w:val="28"/>
        </w:rPr>
        <w:t>Law</w:t>
      </w:r>
      <w:r w:rsidR="002C73EB" w:rsidRPr="00586CEB">
        <w:rPr>
          <w:rFonts w:ascii="Times New Roman" w:eastAsia="Times New Roman" w:hAnsi="Times New Roman" w:cs="Times New Roman"/>
          <w:sz w:val="28"/>
          <w:szCs w:val="28"/>
        </w:rPr>
        <w:t xml:space="preserve"> that young people generally face fewer impediments to workforce participation</w:t>
      </w:r>
      <w:r w:rsidR="00D2378C" w:rsidRPr="00586CEB">
        <w:rPr>
          <w:rFonts w:ascii="Times New Roman" w:eastAsia="Times New Roman" w:hAnsi="Times New Roman" w:cs="Times New Roman"/>
          <w:sz w:val="28"/>
          <w:szCs w:val="28"/>
        </w:rPr>
        <w:t xml:space="preserve"> (RF at 67)</w:t>
      </w:r>
      <w:r w:rsidR="002C73EB" w:rsidRPr="00586CEB">
        <w:rPr>
          <w:rFonts w:ascii="Times New Roman" w:eastAsia="Times New Roman" w:hAnsi="Times New Roman" w:cs="Times New Roman"/>
          <w:sz w:val="28"/>
          <w:szCs w:val="28"/>
        </w:rPr>
        <w:t xml:space="preserve">. </w:t>
      </w:r>
      <w:r w:rsidR="00BA0E1F" w:rsidRPr="00586CEB">
        <w:rPr>
          <w:rFonts w:ascii="Times New Roman" w:eastAsia="Times New Roman" w:hAnsi="Times New Roman" w:cs="Times New Roman"/>
          <w:sz w:val="28"/>
          <w:szCs w:val="28"/>
        </w:rPr>
        <w:t>Furthermore, expert evidence by Dr. Layla Botros shows that y</w:t>
      </w:r>
      <w:r w:rsidRPr="00586CEB">
        <w:rPr>
          <w:rFonts w:ascii="Times New Roman" w:eastAsia="Times New Roman" w:hAnsi="Times New Roman" w:cs="Times New Roman"/>
          <w:sz w:val="28"/>
          <w:szCs w:val="28"/>
        </w:rPr>
        <w:t>ounger residents face higher unemployment rates and greater barriers to accessing stable, well-paying employment. At the same time,</w:t>
      </w:r>
      <w:r w:rsidR="00BA0E1F" w:rsidRPr="00586CEB">
        <w:rPr>
          <w:rFonts w:ascii="Times New Roman" w:eastAsia="Times New Roman" w:hAnsi="Times New Roman" w:cs="Times New Roman"/>
          <w:sz w:val="28"/>
          <w:szCs w:val="28"/>
        </w:rPr>
        <w:t xml:space="preserve"> as evidenced by the Minister’s testimony,</w:t>
      </w:r>
      <w:r w:rsidRPr="00586CEB">
        <w:rPr>
          <w:rFonts w:ascii="Times New Roman" w:eastAsia="Times New Roman" w:hAnsi="Times New Roman" w:cs="Times New Roman"/>
          <w:sz w:val="28"/>
          <w:szCs w:val="28"/>
        </w:rPr>
        <w:t xml:space="preserve"> they are better equipped to benefit from targeted training programs designed to develop the skills necessary for emerging job markets</w:t>
      </w:r>
      <w:r w:rsidR="00D2378C" w:rsidRPr="00586CEB">
        <w:rPr>
          <w:rFonts w:ascii="Times New Roman" w:eastAsia="Times New Roman" w:hAnsi="Times New Roman" w:cs="Times New Roman"/>
          <w:sz w:val="28"/>
          <w:szCs w:val="28"/>
        </w:rPr>
        <w:t xml:space="preserve"> (RF at 70)</w:t>
      </w:r>
      <w:r w:rsidRPr="00586CEB">
        <w:rPr>
          <w:rFonts w:ascii="Times New Roman" w:eastAsia="Times New Roman" w:hAnsi="Times New Roman" w:cs="Times New Roman"/>
          <w:sz w:val="28"/>
          <w:szCs w:val="28"/>
        </w:rPr>
        <w:t xml:space="preserve">. The New Regulations meet </w:t>
      </w:r>
      <w:r w:rsidR="00BA0E1F" w:rsidRPr="00586CEB">
        <w:rPr>
          <w:rFonts w:ascii="Times New Roman" w:eastAsia="Times New Roman" w:hAnsi="Times New Roman" w:cs="Times New Roman"/>
          <w:sz w:val="28"/>
          <w:szCs w:val="28"/>
        </w:rPr>
        <w:t xml:space="preserve">the requirement of the distinction being rationally connected </w:t>
      </w:r>
      <w:r w:rsidRPr="00586CEB">
        <w:rPr>
          <w:rFonts w:ascii="Times New Roman" w:eastAsia="Times New Roman" w:hAnsi="Times New Roman" w:cs="Times New Roman"/>
          <w:sz w:val="28"/>
          <w:szCs w:val="28"/>
        </w:rPr>
        <w:t>t</w:t>
      </w:r>
      <w:r w:rsidR="00BA0E1F" w:rsidRPr="00586CEB">
        <w:rPr>
          <w:rFonts w:ascii="Times New Roman" w:eastAsia="Times New Roman" w:hAnsi="Times New Roman" w:cs="Times New Roman"/>
          <w:sz w:val="28"/>
          <w:szCs w:val="28"/>
        </w:rPr>
        <w:t>he objective of this legislation b</w:t>
      </w:r>
      <w:r w:rsidRPr="00586CEB">
        <w:rPr>
          <w:rFonts w:ascii="Times New Roman" w:eastAsia="Times New Roman" w:hAnsi="Times New Roman" w:cs="Times New Roman"/>
          <w:sz w:val="28"/>
          <w:szCs w:val="28"/>
        </w:rPr>
        <w:t>y tying BIB payments for younger residents to participation in training programs</w:t>
      </w:r>
      <w:r w:rsidR="00D2378C" w:rsidRPr="00586CEB">
        <w:rPr>
          <w:rFonts w:ascii="Times New Roman" w:eastAsia="Times New Roman" w:hAnsi="Times New Roman" w:cs="Times New Roman"/>
          <w:sz w:val="28"/>
          <w:szCs w:val="28"/>
        </w:rPr>
        <w:t xml:space="preserve"> (RF at 71)</w:t>
      </w:r>
      <w:r w:rsidR="00BA0E1F" w:rsidRPr="00586CEB">
        <w:rPr>
          <w:rFonts w:ascii="Times New Roman" w:eastAsia="Times New Roman" w:hAnsi="Times New Roman" w:cs="Times New Roman"/>
          <w:sz w:val="28"/>
          <w:szCs w:val="28"/>
        </w:rPr>
        <w:t xml:space="preserve">. They </w:t>
      </w:r>
      <w:r w:rsidRPr="00586CEB">
        <w:rPr>
          <w:rFonts w:ascii="Times New Roman" w:eastAsia="Times New Roman" w:hAnsi="Times New Roman" w:cs="Times New Roman"/>
          <w:sz w:val="28"/>
          <w:szCs w:val="28"/>
        </w:rPr>
        <w:t>ensure that younger residents receive not only financial support but also the skills and knowledge needed to achieve long-term economic self-sufficiency</w:t>
      </w:r>
      <w:r w:rsidR="00D2378C" w:rsidRPr="00586CEB">
        <w:rPr>
          <w:rFonts w:ascii="Times New Roman" w:eastAsia="Times New Roman" w:hAnsi="Times New Roman" w:cs="Times New Roman"/>
          <w:sz w:val="28"/>
          <w:szCs w:val="28"/>
        </w:rPr>
        <w:t xml:space="preserve"> (RF at 71)</w:t>
      </w:r>
      <w:r w:rsidRPr="00586CEB">
        <w:rPr>
          <w:rFonts w:ascii="Times New Roman" w:eastAsia="Times New Roman" w:hAnsi="Times New Roman" w:cs="Times New Roman"/>
          <w:sz w:val="28"/>
          <w:szCs w:val="28"/>
        </w:rPr>
        <w:t xml:space="preserve">. Moreover, the </w:t>
      </w:r>
      <w:r w:rsidR="00BA0E1F" w:rsidRPr="00586CEB">
        <w:rPr>
          <w:rFonts w:ascii="Times New Roman" w:eastAsia="Times New Roman" w:hAnsi="Times New Roman" w:cs="Times New Roman"/>
          <w:sz w:val="28"/>
          <w:szCs w:val="28"/>
        </w:rPr>
        <w:t>other government projects, including building a new medical centre, facilities to promote tourism, and renovation of bridges and infrastructure</w:t>
      </w:r>
      <w:r w:rsidRPr="00586CEB">
        <w:rPr>
          <w:rFonts w:ascii="Times New Roman" w:eastAsia="Times New Roman" w:hAnsi="Times New Roman" w:cs="Times New Roman"/>
          <w:sz w:val="28"/>
          <w:szCs w:val="28"/>
        </w:rPr>
        <w:t>, will increase employment opportunities in Northern Ontario</w:t>
      </w:r>
      <w:r w:rsidR="00D2378C" w:rsidRPr="00586CEB">
        <w:rPr>
          <w:rFonts w:ascii="Times New Roman" w:eastAsia="Times New Roman" w:hAnsi="Times New Roman" w:cs="Times New Roman"/>
          <w:sz w:val="28"/>
          <w:szCs w:val="28"/>
        </w:rPr>
        <w:t xml:space="preserve"> (</w:t>
      </w:r>
      <w:r w:rsidR="00A66F94" w:rsidRPr="00586CEB">
        <w:rPr>
          <w:rFonts w:ascii="Times New Roman" w:eastAsia="Times New Roman" w:hAnsi="Times New Roman" w:cs="Times New Roman"/>
          <w:sz w:val="28"/>
          <w:szCs w:val="28"/>
        </w:rPr>
        <w:t>RF at 70)</w:t>
      </w:r>
      <w:r w:rsidRPr="00586CEB">
        <w:rPr>
          <w:rFonts w:ascii="Times New Roman" w:eastAsia="Times New Roman" w:hAnsi="Times New Roman" w:cs="Times New Roman"/>
          <w:sz w:val="28"/>
          <w:szCs w:val="28"/>
        </w:rPr>
        <w:t>. Meanwhile, older residents, who are less likely to benefit from training programs</w:t>
      </w:r>
      <w:r w:rsidR="00BA0E1F" w:rsidRPr="00586CEB">
        <w:rPr>
          <w:rFonts w:ascii="Times New Roman" w:eastAsia="Times New Roman" w:hAnsi="Times New Roman" w:cs="Times New Roman"/>
          <w:sz w:val="28"/>
          <w:szCs w:val="28"/>
        </w:rPr>
        <w:t xml:space="preserve"> and in turn, these employment opportunities</w:t>
      </w:r>
      <w:r w:rsidRPr="00586CEB">
        <w:rPr>
          <w:rFonts w:ascii="Times New Roman" w:eastAsia="Times New Roman" w:hAnsi="Times New Roman" w:cs="Times New Roman"/>
          <w:sz w:val="28"/>
          <w:szCs w:val="28"/>
        </w:rPr>
        <w:t>,</w:t>
      </w:r>
      <w:r w:rsidR="00BA0E1F" w:rsidRPr="00586CEB">
        <w:rPr>
          <w:rFonts w:ascii="Times New Roman" w:eastAsia="Times New Roman" w:hAnsi="Times New Roman" w:cs="Times New Roman"/>
          <w:sz w:val="28"/>
          <w:szCs w:val="28"/>
        </w:rPr>
        <w:t xml:space="preserve"> will be able to</w:t>
      </w:r>
      <w:r w:rsidRPr="00586CEB">
        <w:rPr>
          <w:rFonts w:ascii="Times New Roman" w:eastAsia="Times New Roman" w:hAnsi="Times New Roman" w:cs="Times New Roman"/>
          <w:sz w:val="28"/>
          <w:szCs w:val="28"/>
        </w:rPr>
        <w:t xml:space="preserve"> receive automatic financial support</w:t>
      </w:r>
      <w:r w:rsidR="00A66F94" w:rsidRPr="00586CEB">
        <w:rPr>
          <w:rFonts w:ascii="Times New Roman" w:eastAsia="Times New Roman" w:hAnsi="Times New Roman" w:cs="Times New Roman"/>
          <w:sz w:val="28"/>
          <w:szCs w:val="28"/>
        </w:rPr>
        <w:t xml:space="preserve"> (RF at 71)</w:t>
      </w:r>
      <w:r w:rsidRPr="00586CEB">
        <w:rPr>
          <w:rFonts w:ascii="Times New Roman" w:eastAsia="Times New Roman" w:hAnsi="Times New Roman" w:cs="Times New Roman"/>
          <w:sz w:val="28"/>
          <w:szCs w:val="28"/>
        </w:rPr>
        <w:t>. Thus, the distinctions in the New Regulations are intentionally designed to address the unique circumstances and needs of different age groups, advancing the ameliorative purposes of the program.</w:t>
      </w:r>
    </w:p>
    <w:p w14:paraId="1D325C4D"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4BD2028B"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063CEBCA"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10E46DF7"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1937A662"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4438984E"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56917BFF"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359EA24C"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1DA370AC"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2F6C19CA"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0CF9D692"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65CC83C1" w14:textId="77777777" w:rsidR="002A75E2" w:rsidRDefault="002A75E2" w:rsidP="00CE05EB">
      <w:pPr>
        <w:spacing w:line="240" w:lineRule="auto"/>
        <w:jc w:val="both"/>
        <w:rPr>
          <w:rFonts w:ascii="Times New Roman" w:eastAsia="Times New Roman" w:hAnsi="Times New Roman" w:cs="Times New Roman"/>
          <w:color w:val="FF0000"/>
          <w:sz w:val="28"/>
          <w:szCs w:val="28"/>
        </w:rPr>
      </w:pPr>
    </w:p>
    <w:p w14:paraId="0B1ECA70" w14:textId="67A95270" w:rsidR="00861E68" w:rsidRPr="00586CEB" w:rsidRDefault="00861E68" w:rsidP="00CE05EB">
      <w:pPr>
        <w:spacing w:line="240" w:lineRule="auto"/>
        <w:jc w:val="both"/>
        <w:rPr>
          <w:rFonts w:ascii="Times New Roman" w:eastAsia="Times New Roman" w:hAnsi="Times New Roman" w:cs="Times New Roman"/>
          <w:color w:val="FF0000"/>
          <w:sz w:val="28"/>
          <w:szCs w:val="28"/>
        </w:rPr>
      </w:pPr>
      <w:r w:rsidRPr="00586CEB">
        <w:rPr>
          <w:rFonts w:ascii="Times New Roman" w:eastAsia="Times New Roman" w:hAnsi="Times New Roman" w:cs="Times New Roman"/>
          <w:color w:val="FF0000"/>
          <w:sz w:val="28"/>
          <w:szCs w:val="28"/>
        </w:rPr>
        <w:lastRenderedPageBreak/>
        <w:t xml:space="preserve">Withler facts </w:t>
      </w:r>
    </w:p>
    <w:p w14:paraId="1DF481AE" w14:textId="0A2D4722" w:rsidR="00D2378C" w:rsidRPr="00586CEB" w:rsidRDefault="00D2378C" w:rsidP="00D2378C">
      <w:pPr>
        <w:pStyle w:val="ListParagraph"/>
        <w:numPr>
          <w:ilvl w:val="0"/>
          <w:numId w:val="2"/>
        </w:numPr>
        <w:spacing w:line="240" w:lineRule="auto"/>
        <w:jc w:val="both"/>
        <w:rPr>
          <w:rFonts w:ascii="Times New Roman" w:eastAsia="Times New Roman" w:hAnsi="Times New Roman" w:cs="Times New Roman"/>
          <w:bCs/>
          <w:color w:val="FF0000"/>
          <w:sz w:val="28"/>
          <w:szCs w:val="28"/>
        </w:rPr>
      </w:pPr>
      <w:r w:rsidRPr="00586CEB">
        <w:rPr>
          <w:rFonts w:ascii="Times New Roman" w:eastAsia="Times New Roman" w:hAnsi="Times New Roman" w:cs="Times New Roman"/>
          <w:bCs/>
          <w:color w:val="FF0000"/>
          <w:sz w:val="28"/>
          <w:szCs w:val="28"/>
        </w:rPr>
        <w:t xml:space="preserve">The Supreme Court of Canada dismissed the claim that age-based reductions in the Supplementary Death Benefit for Canadian Forces members violated s. 15(1) of the Charter. The reduction, which decreased benefits by 10% per year beyond a set age, was challenged as discriminatory against surviving spouses. </w:t>
      </w:r>
    </w:p>
    <w:p w14:paraId="5BDB105B" w14:textId="0F6D4B48" w:rsidR="00D2378C" w:rsidRPr="00586CEB" w:rsidRDefault="00D2378C" w:rsidP="00D2378C">
      <w:pPr>
        <w:pStyle w:val="ListParagraph"/>
        <w:numPr>
          <w:ilvl w:val="0"/>
          <w:numId w:val="2"/>
        </w:numPr>
        <w:spacing w:line="240" w:lineRule="auto"/>
        <w:jc w:val="both"/>
        <w:rPr>
          <w:rFonts w:ascii="Times New Roman" w:eastAsia="Times New Roman" w:hAnsi="Times New Roman" w:cs="Times New Roman"/>
          <w:bCs/>
          <w:color w:val="FF0000"/>
          <w:sz w:val="28"/>
          <w:szCs w:val="28"/>
        </w:rPr>
      </w:pPr>
      <w:r w:rsidRPr="00586CEB">
        <w:rPr>
          <w:rFonts w:ascii="Times New Roman" w:eastAsia="Times New Roman" w:hAnsi="Times New Roman" w:cs="Times New Roman"/>
          <w:bCs/>
          <w:color w:val="FF0000"/>
          <w:sz w:val="28"/>
          <w:szCs w:val="28"/>
        </w:rPr>
        <w:t>The Court ruled that while age is an enumerated ground under s. 15(1), the provisions did not violate substantive equality because they were designed to meet retiree needs and balance competing interests across age groups. The decision emphasized a contextual rather than formal comparator-based approach to equality claims.</w:t>
      </w:r>
    </w:p>
    <w:p w14:paraId="6EC383D2" w14:textId="77777777" w:rsidR="00D2378C" w:rsidRPr="00586CEB" w:rsidRDefault="00D2378C">
      <w:pPr>
        <w:spacing w:line="240" w:lineRule="auto"/>
        <w:jc w:val="both"/>
        <w:rPr>
          <w:rFonts w:ascii="Times New Roman" w:eastAsia="Times New Roman" w:hAnsi="Times New Roman" w:cs="Times New Roman"/>
          <w:sz w:val="28"/>
          <w:szCs w:val="28"/>
        </w:rPr>
      </w:pPr>
    </w:p>
    <w:p w14:paraId="5472A7F9" w14:textId="77777777" w:rsidR="002A75E2" w:rsidRDefault="002A75E2" w:rsidP="00D10878">
      <w:pPr>
        <w:spacing w:line="240" w:lineRule="auto"/>
        <w:jc w:val="both"/>
        <w:rPr>
          <w:rFonts w:ascii="Times New Roman" w:eastAsia="Times New Roman" w:hAnsi="Times New Roman" w:cs="Times New Roman"/>
          <w:sz w:val="28"/>
          <w:szCs w:val="28"/>
        </w:rPr>
      </w:pPr>
    </w:p>
    <w:p w14:paraId="7F0AE62B" w14:textId="77777777" w:rsidR="002A75E2" w:rsidRDefault="002A75E2" w:rsidP="00D10878">
      <w:pPr>
        <w:spacing w:line="240" w:lineRule="auto"/>
        <w:jc w:val="both"/>
        <w:rPr>
          <w:rFonts w:ascii="Times New Roman" w:eastAsia="Times New Roman" w:hAnsi="Times New Roman" w:cs="Times New Roman"/>
          <w:sz w:val="28"/>
          <w:szCs w:val="28"/>
        </w:rPr>
      </w:pPr>
    </w:p>
    <w:p w14:paraId="39875197" w14:textId="77777777" w:rsidR="002A75E2" w:rsidRDefault="002A75E2" w:rsidP="00D10878">
      <w:pPr>
        <w:spacing w:line="240" w:lineRule="auto"/>
        <w:jc w:val="both"/>
        <w:rPr>
          <w:rFonts w:ascii="Times New Roman" w:eastAsia="Times New Roman" w:hAnsi="Times New Roman" w:cs="Times New Roman"/>
          <w:sz w:val="28"/>
          <w:szCs w:val="28"/>
        </w:rPr>
      </w:pPr>
    </w:p>
    <w:p w14:paraId="3A46DF74" w14:textId="77777777" w:rsidR="002A75E2" w:rsidRDefault="002A75E2" w:rsidP="00D10878">
      <w:pPr>
        <w:spacing w:line="240" w:lineRule="auto"/>
        <w:jc w:val="both"/>
        <w:rPr>
          <w:rFonts w:ascii="Times New Roman" w:eastAsia="Times New Roman" w:hAnsi="Times New Roman" w:cs="Times New Roman"/>
          <w:sz w:val="28"/>
          <w:szCs w:val="28"/>
        </w:rPr>
      </w:pPr>
    </w:p>
    <w:p w14:paraId="63863F67" w14:textId="77777777" w:rsidR="002A75E2" w:rsidRDefault="002A75E2" w:rsidP="00D10878">
      <w:pPr>
        <w:spacing w:line="240" w:lineRule="auto"/>
        <w:jc w:val="both"/>
        <w:rPr>
          <w:rFonts w:ascii="Times New Roman" w:eastAsia="Times New Roman" w:hAnsi="Times New Roman" w:cs="Times New Roman"/>
          <w:sz w:val="28"/>
          <w:szCs w:val="28"/>
        </w:rPr>
      </w:pPr>
    </w:p>
    <w:p w14:paraId="6B037BCA" w14:textId="77777777" w:rsidR="002A75E2" w:rsidRDefault="002A75E2" w:rsidP="00D10878">
      <w:pPr>
        <w:spacing w:line="240" w:lineRule="auto"/>
        <w:jc w:val="both"/>
        <w:rPr>
          <w:rFonts w:ascii="Times New Roman" w:eastAsia="Times New Roman" w:hAnsi="Times New Roman" w:cs="Times New Roman"/>
          <w:sz w:val="28"/>
          <w:szCs w:val="28"/>
        </w:rPr>
      </w:pPr>
    </w:p>
    <w:p w14:paraId="41AF9B28" w14:textId="77777777" w:rsidR="002A75E2" w:rsidRDefault="002A75E2" w:rsidP="00D10878">
      <w:pPr>
        <w:spacing w:line="240" w:lineRule="auto"/>
        <w:jc w:val="both"/>
        <w:rPr>
          <w:rFonts w:ascii="Times New Roman" w:eastAsia="Times New Roman" w:hAnsi="Times New Roman" w:cs="Times New Roman"/>
          <w:sz w:val="28"/>
          <w:szCs w:val="28"/>
        </w:rPr>
      </w:pPr>
    </w:p>
    <w:p w14:paraId="1B05712B" w14:textId="77777777" w:rsidR="002A75E2" w:rsidRDefault="002A75E2" w:rsidP="00D10878">
      <w:pPr>
        <w:spacing w:line="240" w:lineRule="auto"/>
        <w:jc w:val="both"/>
        <w:rPr>
          <w:rFonts w:ascii="Times New Roman" w:eastAsia="Times New Roman" w:hAnsi="Times New Roman" w:cs="Times New Roman"/>
          <w:sz w:val="28"/>
          <w:szCs w:val="28"/>
        </w:rPr>
      </w:pPr>
    </w:p>
    <w:p w14:paraId="5518A507" w14:textId="77777777" w:rsidR="002A75E2" w:rsidRDefault="002A75E2" w:rsidP="00D10878">
      <w:pPr>
        <w:spacing w:line="240" w:lineRule="auto"/>
        <w:jc w:val="both"/>
        <w:rPr>
          <w:rFonts w:ascii="Times New Roman" w:eastAsia="Times New Roman" w:hAnsi="Times New Roman" w:cs="Times New Roman"/>
          <w:sz w:val="28"/>
          <w:szCs w:val="28"/>
        </w:rPr>
      </w:pPr>
    </w:p>
    <w:p w14:paraId="1C206028" w14:textId="77777777" w:rsidR="002A75E2" w:rsidRDefault="002A75E2" w:rsidP="00D10878">
      <w:pPr>
        <w:spacing w:line="240" w:lineRule="auto"/>
        <w:jc w:val="both"/>
        <w:rPr>
          <w:rFonts w:ascii="Times New Roman" w:eastAsia="Times New Roman" w:hAnsi="Times New Roman" w:cs="Times New Roman"/>
          <w:sz w:val="28"/>
          <w:szCs w:val="28"/>
        </w:rPr>
      </w:pPr>
    </w:p>
    <w:p w14:paraId="54C59A6E" w14:textId="77777777" w:rsidR="002A75E2" w:rsidRDefault="002A75E2" w:rsidP="00D10878">
      <w:pPr>
        <w:spacing w:line="240" w:lineRule="auto"/>
        <w:jc w:val="both"/>
        <w:rPr>
          <w:rFonts w:ascii="Times New Roman" w:eastAsia="Times New Roman" w:hAnsi="Times New Roman" w:cs="Times New Roman"/>
          <w:sz w:val="28"/>
          <w:szCs w:val="28"/>
        </w:rPr>
      </w:pPr>
    </w:p>
    <w:p w14:paraId="29827B8A" w14:textId="77777777" w:rsidR="002A75E2" w:rsidRDefault="002A75E2" w:rsidP="00D10878">
      <w:pPr>
        <w:spacing w:line="240" w:lineRule="auto"/>
        <w:jc w:val="both"/>
        <w:rPr>
          <w:rFonts w:ascii="Times New Roman" w:eastAsia="Times New Roman" w:hAnsi="Times New Roman" w:cs="Times New Roman"/>
          <w:sz w:val="28"/>
          <w:szCs w:val="28"/>
        </w:rPr>
      </w:pPr>
    </w:p>
    <w:p w14:paraId="200DD2C1" w14:textId="77777777" w:rsidR="002A75E2" w:rsidRDefault="002A75E2" w:rsidP="00D10878">
      <w:pPr>
        <w:spacing w:line="240" w:lineRule="auto"/>
        <w:jc w:val="both"/>
        <w:rPr>
          <w:rFonts w:ascii="Times New Roman" w:eastAsia="Times New Roman" w:hAnsi="Times New Roman" w:cs="Times New Roman"/>
          <w:sz w:val="28"/>
          <w:szCs w:val="28"/>
        </w:rPr>
      </w:pPr>
    </w:p>
    <w:p w14:paraId="3660B944" w14:textId="77777777" w:rsidR="002A75E2" w:rsidRDefault="002A75E2" w:rsidP="00D10878">
      <w:pPr>
        <w:spacing w:line="240" w:lineRule="auto"/>
        <w:jc w:val="both"/>
        <w:rPr>
          <w:rFonts w:ascii="Times New Roman" w:eastAsia="Times New Roman" w:hAnsi="Times New Roman" w:cs="Times New Roman"/>
          <w:sz w:val="28"/>
          <w:szCs w:val="28"/>
        </w:rPr>
      </w:pPr>
    </w:p>
    <w:p w14:paraId="7EA812FE" w14:textId="77777777" w:rsidR="002A75E2" w:rsidRDefault="002A75E2" w:rsidP="00D10878">
      <w:pPr>
        <w:spacing w:line="240" w:lineRule="auto"/>
        <w:jc w:val="both"/>
        <w:rPr>
          <w:rFonts w:ascii="Times New Roman" w:eastAsia="Times New Roman" w:hAnsi="Times New Roman" w:cs="Times New Roman"/>
          <w:sz w:val="28"/>
          <w:szCs w:val="28"/>
        </w:rPr>
      </w:pPr>
    </w:p>
    <w:p w14:paraId="072C41FC" w14:textId="77777777" w:rsidR="002A75E2" w:rsidRDefault="002A75E2" w:rsidP="00D10878">
      <w:pPr>
        <w:spacing w:line="240" w:lineRule="auto"/>
        <w:jc w:val="both"/>
        <w:rPr>
          <w:rFonts w:ascii="Times New Roman" w:eastAsia="Times New Roman" w:hAnsi="Times New Roman" w:cs="Times New Roman"/>
          <w:sz w:val="28"/>
          <w:szCs w:val="28"/>
        </w:rPr>
      </w:pPr>
    </w:p>
    <w:p w14:paraId="459569B0" w14:textId="77777777" w:rsidR="002A75E2" w:rsidRDefault="002A75E2" w:rsidP="00D10878">
      <w:pPr>
        <w:spacing w:line="240" w:lineRule="auto"/>
        <w:jc w:val="both"/>
        <w:rPr>
          <w:rFonts w:ascii="Times New Roman" w:eastAsia="Times New Roman" w:hAnsi="Times New Roman" w:cs="Times New Roman"/>
          <w:sz w:val="28"/>
          <w:szCs w:val="28"/>
        </w:rPr>
      </w:pPr>
    </w:p>
    <w:p w14:paraId="157ACA06" w14:textId="77777777" w:rsidR="002A75E2" w:rsidRDefault="002A75E2" w:rsidP="00D10878">
      <w:pPr>
        <w:spacing w:line="240" w:lineRule="auto"/>
        <w:jc w:val="both"/>
        <w:rPr>
          <w:rFonts w:ascii="Times New Roman" w:eastAsia="Times New Roman" w:hAnsi="Times New Roman" w:cs="Times New Roman"/>
          <w:sz w:val="28"/>
          <w:szCs w:val="28"/>
        </w:rPr>
      </w:pPr>
    </w:p>
    <w:p w14:paraId="30F4EF92" w14:textId="77777777" w:rsidR="002A75E2" w:rsidRDefault="002A75E2" w:rsidP="00D10878">
      <w:pPr>
        <w:spacing w:line="240" w:lineRule="auto"/>
        <w:jc w:val="both"/>
        <w:rPr>
          <w:rFonts w:ascii="Times New Roman" w:eastAsia="Times New Roman" w:hAnsi="Times New Roman" w:cs="Times New Roman"/>
          <w:sz w:val="28"/>
          <w:szCs w:val="28"/>
        </w:rPr>
      </w:pPr>
    </w:p>
    <w:p w14:paraId="33EE6521" w14:textId="77777777" w:rsidR="002A75E2" w:rsidRDefault="002A75E2" w:rsidP="00D10878">
      <w:pPr>
        <w:spacing w:line="240" w:lineRule="auto"/>
        <w:jc w:val="both"/>
        <w:rPr>
          <w:rFonts w:ascii="Times New Roman" w:eastAsia="Times New Roman" w:hAnsi="Times New Roman" w:cs="Times New Roman"/>
          <w:sz w:val="28"/>
          <w:szCs w:val="28"/>
        </w:rPr>
      </w:pPr>
    </w:p>
    <w:p w14:paraId="322B34BD" w14:textId="77777777" w:rsidR="002A75E2" w:rsidRDefault="002A75E2" w:rsidP="00D10878">
      <w:pPr>
        <w:spacing w:line="240" w:lineRule="auto"/>
        <w:jc w:val="both"/>
        <w:rPr>
          <w:rFonts w:ascii="Times New Roman" w:eastAsia="Times New Roman" w:hAnsi="Times New Roman" w:cs="Times New Roman"/>
          <w:sz w:val="28"/>
          <w:szCs w:val="28"/>
        </w:rPr>
      </w:pPr>
    </w:p>
    <w:p w14:paraId="28660D46" w14:textId="77777777" w:rsidR="002A75E2" w:rsidRDefault="002A75E2" w:rsidP="00D10878">
      <w:pPr>
        <w:spacing w:line="240" w:lineRule="auto"/>
        <w:jc w:val="both"/>
        <w:rPr>
          <w:rFonts w:ascii="Times New Roman" w:eastAsia="Times New Roman" w:hAnsi="Times New Roman" w:cs="Times New Roman"/>
          <w:sz w:val="28"/>
          <w:szCs w:val="28"/>
        </w:rPr>
      </w:pPr>
    </w:p>
    <w:p w14:paraId="275E107B" w14:textId="77777777" w:rsidR="002A75E2" w:rsidRDefault="002A75E2" w:rsidP="00D10878">
      <w:pPr>
        <w:spacing w:line="240" w:lineRule="auto"/>
        <w:jc w:val="both"/>
        <w:rPr>
          <w:rFonts w:ascii="Times New Roman" w:eastAsia="Times New Roman" w:hAnsi="Times New Roman" w:cs="Times New Roman"/>
          <w:sz w:val="28"/>
          <w:szCs w:val="28"/>
        </w:rPr>
      </w:pPr>
    </w:p>
    <w:p w14:paraId="60C24D6D" w14:textId="77777777" w:rsidR="002A75E2" w:rsidRDefault="002A75E2" w:rsidP="00D10878">
      <w:pPr>
        <w:spacing w:line="240" w:lineRule="auto"/>
        <w:jc w:val="both"/>
        <w:rPr>
          <w:rFonts w:ascii="Times New Roman" w:eastAsia="Times New Roman" w:hAnsi="Times New Roman" w:cs="Times New Roman"/>
          <w:sz w:val="28"/>
          <w:szCs w:val="28"/>
        </w:rPr>
      </w:pPr>
    </w:p>
    <w:p w14:paraId="289D5C69" w14:textId="77777777" w:rsidR="002A75E2" w:rsidRDefault="002A75E2" w:rsidP="00D10878">
      <w:pPr>
        <w:spacing w:line="240" w:lineRule="auto"/>
        <w:jc w:val="both"/>
        <w:rPr>
          <w:rFonts w:ascii="Times New Roman" w:eastAsia="Times New Roman" w:hAnsi="Times New Roman" w:cs="Times New Roman"/>
          <w:sz w:val="28"/>
          <w:szCs w:val="28"/>
        </w:rPr>
      </w:pPr>
    </w:p>
    <w:p w14:paraId="6770EF1D" w14:textId="77777777" w:rsidR="002A75E2" w:rsidRDefault="002A75E2" w:rsidP="00D10878">
      <w:pPr>
        <w:spacing w:line="240" w:lineRule="auto"/>
        <w:jc w:val="both"/>
        <w:rPr>
          <w:rFonts w:ascii="Times New Roman" w:eastAsia="Times New Roman" w:hAnsi="Times New Roman" w:cs="Times New Roman"/>
          <w:sz w:val="28"/>
          <w:szCs w:val="28"/>
        </w:rPr>
      </w:pPr>
    </w:p>
    <w:p w14:paraId="6940AA63" w14:textId="77777777" w:rsidR="002A75E2" w:rsidRDefault="002A75E2" w:rsidP="00D10878">
      <w:pPr>
        <w:spacing w:line="240" w:lineRule="auto"/>
        <w:jc w:val="both"/>
        <w:rPr>
          <w:rFonts w:ascii="Times New Roman" w:eastAsia="Times New Roman" w:hAnsi="Times New Roman" w:cs="Times New Roman"/>
          <w:sz w:val="28"/>
          <w:szCs w:val="28"/>
        </w:rPr>
      </w:pPr>
    </w:p>
    <w:p w14:paraId="49F4210E" w14:textId="77777777" w:rsidR="002A75E2" w:rsidRDefault="002A75E2" w:rsidP="00D10878">
      <w:pPr>
        <w:spacing w:line="240" w:lineRule="auto"/>
        <w:jc w:val="both"/>
        <w:rPr>
          <w:rFonts w:ascii="Times New Roman" w:eastAsia="Times New Roman" w:hAnsi="Times New Roman" w:cs="Times New Roman"/>
          <w:sz w:val="28"/>
          <w:szCs w:val="28"/>
        </w:rPr>
      </w:pPr>
    </w:p>
    <w:p w14:paraId="0000001F" w14:textId="4670F737" w:rsidR="00934474" w:rsidRPr="00586CEB" w:rsidRDefault="00000000" w:rsidP="00D10878">
      <w:pPr>
        <w:spacing w:line="240" w:lineRule="auto"/>
        <w:jc w:val="both"/>
        <w:rPr>
          <w:rFonts w:ascii="Times New Roman" w:eastAsia="Times New Roman" w:hAnsi="Times New Roman" w:cs="Times New Roman"/>
          <w:sz w:val="28"/>
          <w:szCs w:val="28"/>
        </w:rPr>
      </w:pPr>
      <w:r w:rsidRPr="00586CEB">
        <w:rPr>
          <w:rFonts w:ascii="Times New Roman" w:eastAsia="Times New Roman" w:hAnsi="Times New Roman" w:cs="Times New Roman"/>
          <w:sz w:val="28"/>
          <w:szCs w:val="28"/>
        </w:rPr>
        <w:lastRenderedPageBreak/>
        <w:t xml:space="preserve">For these reasons, the Respondent respectfully </w:t>
      </w:r>
      <w:r w:rsidR="00E60531" w:rsidRPr="00586CEB">
        <w:rPr>
          <w:rFonts w:ascii="Times New Roman" w:eastAsia="Times New Roman" w:hAnsi="Times New Roman" w:cs="Times New Roman"/>
          <w:sz w:val="28"/>
          <w:szCs w:val="28"/>
        </w:rPr>
        <w:t xml:space="preserve">ask this court to find that the new regulations do not create a discriminatory distinction </w:t>
      </w:r>
      <w:r w:rsidR="00D10878" w:rsidRPr="00586CEB">
        <w:rPr>
          <w:rFonts w:ascii="Times New Roman" w:eastAsia="Times New Roman" w:hAnsi="Times New Roman" w:cs="Times New Roman"/>
          <w:sz w:val="28"/>
          <w:szCs w:val="28"/>
        </w:rPr>
        <w:t>and infringe section 15(1) and in the alternative that the regulations are an ameliorative program under section 15(2). Barring any additional questions,</w:t>
      </w:r>
      <w:r w:rsidR="00C668B2" w:rsidRPr="00586CEB">
        <w:rPr>
          <w:rFonts w:ascii="Times New Roman" w:eastAsia="Times New Roman" w:hAnsi="Times New Roman" w:cs="Times New Roman"/>
          <w:sz w:val="28"/>
          <w:szCs w:val="28"/>
        </w:rPr>
        <w:t xml:space="preserve"> I </w:t>
      </w:r>
      <w:r w:rsidR="00D10878" w:rsidRPr="00586CEB">
        <w:rPr>
          <w:rFonts w:ascii="Times New Roman" w:eastAsia="Times New Roman" w:hAnsi="Times New Roman" w:cs="Times New Roman"/>
          <w:sz w:val="28"/>
          <w:szCs w:val="28"/>
        </w:rPr>
        <w:t xml:space="preserve">would </w:t>
      </w:r>
      <w:r w:rsidR="00C668B2" w:rsidRPr="00586CEB">
        <w:rPr>
          <w:rFonts w:ascii="Times New Roman" w:eastAsia="Times New Roman" w:hAnsi="Times New Roman" w:cs="Times New Roman"/>
          <w:sz w:val="28"/>
          <w:szCs w:val="28"/>
        </w:rPr>
        <w:t>now</w:t>
      </w:r>
      <w:r w:rsidR="00D10878" w:rsidRPr="00586CEB">
        <w:rPr>
          <w:rFonts w:ascii="Times New Roman" w:eastAsia="Times New Roman" w:hAnsi="Times New Roman" w:cs="Times New Roman"/>
          <w:sz w:val="28"/>
          <w:szCs w:val="28"/>
        </w:rPr>
        <w:t xml:space="preserve"> like to</w:t>
      </w:r>
      <w:r w:rsidR="00C668B2" w:rsidRPr="00586CEB">
        <w:rPr>
          <w:rFonts w:ascii="Times New Roman" w:eastAsia="Times New Roman" w:hAnsi="Times New Roman" w:cs="Times New Roman"/>
          <w:sz w:val="28"/>
          <w:szCs w:val="28"/>
        </w:rPr>
        <w:t xml:space="preserve"> </w:t>
      </w:r>
      <w:r w:rsidR="00D10878" w:rsidRPr="00586CEB">
        <w:rPr>
          <w:rFonts w:ascii="Times New Roman" w:eastAsia="Times New Roman" w:hAnsi="Times New Roman" w:cs="Times New Roman"/>
          <w:sz w:val="28"/>
          <w:szCs w:val="28"/>
        </w:rPr>
        <w:t xml:space="preserve">introduce my </w:t>
      </w:r>
      <w:r w:rsidR="00C668B2" w:rsidRPr="00586CEB">
        <w:rPr>
          <w:rFonts w:ascii="Times New Roman" w:eastAsia="Times New Roman" w:hAnsi="Times New Roman" w:cs="Times New Roman"/>
          <w:sz w:val="28"/>
          <w:szCs w:val="28"/>
        </w:rPr>
        <w:t xml:space="preserve">co-counsel Mr. </w:t>
      </w:r>
      <w:r w:rsidR="00D81E8A">
        <w:rPr>
          <w:rFonts w:ascii="Times New Roman" w:eastAsia="Times New Roman" w:hAnsi="Times New Roman" w:cs="Times New Roman"/>
          <w:sz w:val="28"/>
          <w:szCs w:val="28"/>
        </w:rPr>
        <w:t>(last name)</w:t>
      </w:r>
      <w:r w:rsidR="00C668B2" w:rsidRPr="00586CEB">
        <w:rPr>
          <w:rFonts w:ascii="Times New Roman" w:eastAsia="Times New Roman" w:hAnsi="Times New Roman" w:cs="Times New Roman"/>
          <w:sz w:val="28"/>
          <w:szCs w:val="28"/>
        </w:rPr>
        <w:t xml:space="preserve">. </w:t>
      </w:r>
    </w:p>
    <w:p w14:paraId="19607E79" w14:textId="77777777" w:rsidR="00167D61" w:rsidRPr="00586CEB" w:rsidRDefault="00167D61" w:rsidP="008C2F4C">
      <w:pPr>
        <w:spacing w:line="240" w:lineRule="auto"/>
        <w:jc w:val="both"/>
        <w:rPr>
          <w:rFonts w:ascii="Times New Roman" w:eastAsia="Times New Roman" w:hAnsi="Times New Roman" w:cs="Times New Roman"/>
          <w:sz w:val="28"/>
          <w:szCs w:val="28"/>
        </w:rPr>
      </w:pPr>
    </w:p>
    <w:p w14:paraId="387D978B" w14:textId="77777777" w:rsidR="00167D61" w:rsidRPr="00586CEB" w:rsidRDefault="00167D61" w:rsidP="008C2F4C">
      <w:pPr>
        <w:spacing w:line="240" w:lineRule="auto"/>
        <w:jc w:val="both"/>
        <w:rPr>
          <w:rFonts w:ascii="Times New Roman" w:eastAsia="Times New Roman" w:hAnsi="Times New Roman" w:cs="Times New Roman"/>
          <w:sz w:val="28"/>
          <w:szCs w:val="28"/>
        </w:rPr>
      </w:pPr>
    </w:p>
    <w:p w14:paraId="15A0513C"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726F1821"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6009B076"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5D6D58BE"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58F24929"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73D1A7B4"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35055551"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22DADD33"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4E224248"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58F99605"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7F5BA45C"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72448348"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01B8F524"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53B43EDF"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643F6BCC"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4CD62D95"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34F5B62F"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27868AFB"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4960F194"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2ACBEF22"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1361CE22"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3577BEBD"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3785C597"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0F40CD1E"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428A4D57"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16AF9E36"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6296A863"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0D8E4898"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22EE595F"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442DF774"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347E348B"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24740CA0" w14:textId="77777777" w:rsidR="002A75E2" w:rsidRDefault="002A75E2" w:rsidP="00167D61">
      <w:pPr>
        <w:spacing w:line="240" w:lineRule="auto"/>
        <w:jc w:val="center"/>
        <w:rPr>
          <w:rFonts w:ascii="Times New Roman" w:eastAsia="Times New Roman" w:hAnsi="Times New Roman" w:cs="Times New Roman"/>
          <w:sz w:val="28"/>
          <w:szCs w:val="28"/>
          <w:u w:val="single"/>
        </w:rPr>
      </w:pPr>
    </w:p>
    <w:p w14:paraId="06C58A24" w14:textId="27204F92" w:rsidR="00435321" w:rsidRPr="0033093A" w:rsidRDefault="00435321" w:rsidP="0033093A">
      <w:pPr>
        <w:tabs>
          <w:tab w:val="left" w:pos="2762"/>
        </w:tabs>
        <w:rPr>
          <w:rFonts w:ascii="Times New Roman" w:eastAsia="Times New Roman" w:hAnsi="Times New Roman" w:cs="Times New Roman"/>
          <w:sz w:val="28"/>
          <w:szCs w:val="28"/>
        </w:rPr>
      </w:pPr>
      <w:r w:rsidRPr="0033093A">
        <w:rPr>
          <w:rFonts w:ascii="Times New Roman" w:eastAsia="Times New Roman" w:hAnsi="Times New Roman" w:cs="Times New Roman"/>
          <w:sz w:val="28"/>
          <w:szCs w:val="28"/>
        </w:rPr>
        <w:t xml:space="preserve"> </w:t>
      </w:r>
    </w:p>
    <w:sectPr w:rsidR="00435321" w:rsidRPr="003309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Clean-Regular">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5629"/>
    <w:multiLevelType w:val="hybridMultilevel"/>
    <w:tmpl w:val="DBFAC5CC"/>
    <w:lvl w:ilvl="0" w:tplc="AFD2B1B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807FA"/>
    <w:multiLevelType w:val="hybridMultilevel"/>
    <w:tmpl w:val="14568474"/>
    <w:lvl w:ilvl="0" w:tplc="2AFA2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E1E20"/>
    <w:multiLevelType w:val="hybridMultilevel"/>
    <w:tmpl w:val="1D5CD05A"/>
    <w:lvl w:ilvl="0" w:tplc="DDD021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B45C1"/>
    <w:multiLevelType w:val="hybridMultilevel"/>
    <w:tmpl w:val="8D824146"/>
    <w:lvl w:ilvl="0" w:tplc="6AEAF2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111473">
    <w:abstractNumId w:val="2"/>
  </w:num>
  <w:num w:numId="2" w16cid:durableId="103771768">
    <w:abstractNumId w:val="3"/>
  </w:num>
  <w:num w:numId="3" w16cid:durableId="1341077225">
    <w:abstractNumId w:val="0"/>
  </w:num>
  <w:num w:numId="4" w16cid:durableId="71561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74"/>
    <w:rsid w:val="000023C0"/>
    <w:rsid w:val="000462C5"/>
    <w:rsid w:val="00070FCC"/>
    <w:rsid w:val="000B100B"/>
    <w:rsid w:val="000C1620"/>
    <w:rsid w:val="000D4CC0"/>
    <w:rsid w:val="000D6A53"/>
    <w:rsid w:val="000E09AE"/>
    <w:rsid w:val="001466F1"/>
    <w:rsid w:val="00153B46"/>
    <w:rsid w:val="00167D61"/>
    <w:rsid w:val="00186252"/>
    <w:rsid w:val="001C7B6D"/>
    <w:rsid w:val="002260B0"/>
    <w:rsid w:val="00237302"/>
    <w:rsid w:val="00245FBD"/>
    <w:rsid w:val="00285A7A"/>
    <w:rsid w:val="0029049B"/>
    <w:rsid w:val="002A75E2"/>
    <w:rsid w:val="002C73EB"/>
    <w:rsid w:val="002E2E99"/>
    <w:rsid w:val="003138D8"/>
    <w:rsid w:val="0033093A"/>
    <w:rsid w:val="00360731"/>
    <w:rsid w:val="00373CB0"/>
    <w:rsid w:val="00373E04"/>
    <w:rsid w:val="003A679A"/>
    <w:rsid w:val="004150F0"/>
    <w:rsid w:val="00435321"/>
    <w:rsid w:val="004471B6"/>
    <w:rsid w:val="00463C91"/>
    <w:rsid w:val="00480216"/>
    <w:rsid w:val="00511BAD"/>
    <w:rsid w:val="005207C6"/>
    <w:rsid w:val="00523986"/>
    <w:rsid w:val="00550026"/>
    <w:rsid w:val="005639E1"/>
    <w:rsid w:val="00565DFC"/>
    <w:rsid w:val="00586CEB"/>
    <w:rsid w:val="0059455F"/>
    <w:rsid w:val="005B0A0E"/>
    <w:rsid w:val="005E5DFD"/>
    <w:rsid w:val="006008A6"/>
    <w:rsid w:val="00613EDA"/>
    <w:rsid w:val="00657B06"/>
    <w:rsid w:val="006766D6"/>
    <w:rsid w:val="00685C97"/>
    <w:rsid w:val="00692A13"/>
    <w:rsid w:val="0069590E"/>
    <w:rsid w:val="006D53B7"/>
    <w:rsid w:val="006E1AFC"/>
    <w:rsid w:val="006E3B51"/>
    <w:rsid w:val="00723460"/>
    <w:rsid w:val="00724B43"/>
    <w:rsid w:val="00726563"/>
    <w:rsid w:val="00730D8E"/>
    <w:rsid w:val="00733FCD"/>
    <w:rsid w:val="00741657"/>
    <w:rsid w:val="00742AA4"/>
    <w:rsid w:val="00742FFA"/>
    <w:rsid w:val="00754835"/>
    <w:rsid w:val="00761BBE"/>
    <w:rsid w:val="00763CA9"/>
    <w:rsid w:val="00782827"/>
    <w:rsid w:val="007853E1"/>
    <w:rsid w:val="007C467D"/>
    <w:rsid w:val="007D265C"/>
    <w:rsid w:val="007D5503"/>
    <w:rsid w:val="00815D82"/>
    <w:rsid w:val="00817F6C"/>
    <w:rsid w:val="00844F79"/>
    <w:rsid w:val="008474CD"/>
    <w:rsid w:val="008564EB"/>
    <w:rsid w:val="00861E68"/>
    <w:rsid w:val="00875620"/>
    <w:rsid w:val="0089767B"/>
    <w:rsid w:val="008A739D"/>
    <w:rsid w:val="008C2F4C"/>
    <w:rsid w:val="00900F5B"/>
    <w:rsid w:val="0090633D"/>
    <w:rsid w:val="0092192C"/>
    <w:rsid w:val="00934474"/>
    <w:rsid w:val="009C5372"/>
    <w:rsid w:val="009E2E73"/>
    <w:rsid w:val="00A4743F"/>
    <w:rsid w:val="00A66F94"/>
    <w:rsid w:val="00A93915"/>
    <w:rsid w:val="00AA3600"/>
    <w:rsid w:val="00B569E0"/>
    <w:rsid w:val="00B702A4"/>
    <w:rsid w:val="00B7160E"/>
    <w:rsid w:val="00BA0E1F"/>
    <w:rsid w:val="00BC7ABB"/>
    <w:rsid w:val="00BF5B24"/>
    <w:rsid w:val="00C56FA5"/>
    <w:rsid w:val="00C62FA8"/>
    <w:rsid w:val="00C6523E"/>
    <w:rsid w:val="00C6675E"/>
    <w:rsid w:val="00C668B2"/>
    <w:rsid w:val="00CA3300"/>
    <w:rsid w:val="00CB5D76"/>
    <w:rsid w:val="00CC0796"/>
    <w:rsid w:val="00CD4575"/>
    <w:rsid w:val="00CE05EB"/>
    <w:rsid w:val="00CF2477"/>
    <w:rsid w:val="00D10878"/>
    <w:rsid w:val="00D2378C"/>
    <w:rsid w:val="00D331DC"/>
    <w:rsid w:val="00D81E8A"/>
    <w:rsid w:val="00DA725B"/>
    <w:rsid w:val="00DB3677"/>
    <w:rsid w:val="00DC0CD1"/>
    <w:rsid w:val="00E0259C"/>
    <w:rsid w:val="00E15D6A"/>
    <w:rsid w:val="00E20D16"/>
    <w:rsid w:val="00E26385"/>
    <w:rsid w:val="00E30F8F"/>
    <w:rsid w:val="00E60239"/>
    <w:rsid w:val="00E60531"/>
    <w:rsid w:val="00E77000"/>
    <w:rsid w:val="00E84D4D"/>
    <w:rsid w:val="00EA0D2D"/>
    <w:rsid w:val="00EA7F5B"/>
    <w:rsid w:val="00EC2794"/>
    <w:rsid w:val="00ED54D5"/>
    <w:rsid w:val="00F06D5B"/>
    <w:rsid w:val="00F24D3D"/>
    <w:rsid w:val="00F47695"/>
    <w:rsid w:val="00F55572"/>
    <w:rsid w:val="00F664C1"/>
    <w:rsid w:val="00F74667"/>
    <w:rsid w:val="00F8034D"/>
    <w:rsid w:val="00F8294F"/>
    <w:rsid w:val="00FA6B15"/>
    <w:rsid w:val="00FE6030"/>
    <w:rsid w:val="00FF09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16C40C"/>
  <w15:docId w15:val="{D5E2499D-30A1-BD4B-8054-3E308DC5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89767B"/>
    <w:rPr>
      <w:sz w:val="16"/>
      <w:szCs w:val="16"/>
    </w:rPr>
  </w:style>
  <w:style w:type="paragraph" w:styleId="CommentText">
    <w:name w:val="annotation text"/>
    <w:basedOn w:val="Normal"/>
    <w:link w:val="CommentTextChar"/>
    <w:uiPriority w:val="99"/>
    <w:semiHidden/>
    <w:unhideWhenUsed/>
    <w:rsid w:val="0089767B"/>
    <w:pPr>
      <w:spacing w:line="240" w:lineRule="auto"/>
    </w:pPr>
    <w:rPr>
      <w:sz w:val="20"/>
      <w:szCs w:val="20"/>
    </w:rPr>
  </w:style>
  <w:style w:type="character" w:customStyle="1" w:styleId="CommentTextChar">
    <w:name w:val="Comment Text Char"/>
    <w:basedOn w:val="DefaultParagraphFont"/>
    <w:link w:val="CommentText"/>
    <w:uiPriority w:val="99"/>
    <w:semiHidden/>
    <w:rsid w:val="0089767B"/>
    <w:rPr>
      <w:sz w:val="20"/>
      <w:szCs w:val="20"/>
    </w:rPr>
  </w:style>
  <w:style w:type="paragraph" w:styleId="CommentSubject">
    <w:name w:val="annotation subject"/>
    <w:basedOn w:val="CommentText"/>
    <w:next w:val="CommentText"/>
    <w:link w:val="CommentSubjectChar"/>
    <w:uiPriority w:val="99"/>
    <w:semiHidden/>
    <w:unhideWhenUsed/>
    <w:rsid w:val="0089767B"/>
    <w:rPr>
      <w:b/>
      <w:bCs/>
    </w:rPr>
  </w:style>
  <w:style w:type="character" w:customStyle="1" w:styleId="CommentSubjectChar">
    <w:name w:val="Comment Subject Char"/>
    <w:basedOn w:val="CommentTextChar"/>
    <w:link w:val="CommentSubject"/>
    <w:uiPriority w:val="99"/>
    <w:semiHidden/>
    <w:rsid w:val="0089767B"/>
    <w:rPr>
      <w:b/>
      <w:bCs/>
      <w:sz w:val="20"/>
      <w:szCs w:val="20"/>
    </w:rPr>
  </w:style>
  <w:style w:type="paragraph" w:styleId="ListParagraph">
    <w:name w:val="List Paragraph"/>
    <w:basedOn w:val="Normal"/>
    <w:uiPriority w:val="34"/>
    <w:qFormat/>
    <w:rsid w:val="000023C0"/>
    <w:pPr>
      <w:ind w:left="720"/>
      <w:contextualSpacing/>
    </w:pPr>
  </w:style>
  <w:style w:type="paragraph" w:styleId="NormalWeb">
    <w:name w:val="Normal (Web)"/>
    <w:basedOn w:val="Normal"/>
    <w:uiPriority w:val="99"/>
    <w:semiHidden/>
    <w:unhideWhenUsed/>
    <w:rsid w:val="00E77000"/>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4696">
      <w:bodyDiv w:val="1"/>
      <w:marLeft w:val="0"/>
      <w:marRight w:val="0"/>
      <w:marTop w:val="0"/>
      <w:marBottom w:val="0"/>
      <w:divBdr>
        <w:top w:val="none" w:sz="0" w:space="0" w:color="auto"/>
        <w:left w:val="none" w:sz="0" w:space="0" w:color="auto"/>
        <w:bottom w:val="none" w:sz="0" w:space="0" w:color="auto"/>
        <w:right w:val="none" w:sz="0" w:space="0" w:color="auto"/>
      </w:divBdr>
    </w:div>
    <w:div w:id="320089277">
      <w:bodyDiv w:val="1"/>
      <w:marLeft w:val="0"/>
      <w:marRight w:val="0"/>
      <w:marTop w:val="0"/>
      <w:marBottom w:val="0"/>
      <w:divBdr>
        <w:top w:val="none" w:sz="0" w:space="0" w:color="auto"/>
        <w:left w:val="none" w:sz="0" w:space="0" w:color="auto"/>
        <w:bottom w:val="none" w:sz="0" w:space="0" w:color="auto"/>
        <w:right w:val="none" w:sz="0" w:space="0" w:color="auto"/>
      </w:divBdr>
    </w:div>
    <w:div w:id="584847104">
      <w:bodyDiv w:val="1"/>
      <w:marLeft w:val="0"/>
      <w:marRight w:val="0"/>
      <w:marTop w:val="0"/>
      <w:marBottom w:val="0"/>
      <w:divBdr>
        <w:top w:val="none" w:sz="0" w:space="0" w:color="auto"/>
        <w:left w:val="none" w:sz="0" w:space="0" w:color="auto"/>
        <w:bottom w:val="none" w:sz="0" w:space="0" w:color="auto"/>
        <w:right w:val="none" w:sz="0" w:space="0" w:color="auto"/>
      </w:divBdr>
    </w:div>
    <w:div w:id="2036877916">
      <w:bodyDiv w:val="1"/>
      <w:marLeft w:val="0"/>
      <w:marRight w:val="0"/>
      <w:marTop w:val="0"/>
      <w:marBottom w:val="0"/>
      <w:divBdr>
        <w:top w:val="none" w:sz="0" w:space="0" w:color="auto"/>
        <w:left w:val="none" w:sz="0" w:space="0" w:color="auto"/>
        <w:bottom w:val="none" w:sz="0" w:space="0" w:color="auto"/>
        <w:right w:val="none" w:sz="0" w:space="0" w:color="auto"/>
      </w:divBdr>
    </w:div>
    <w:div w:id="206864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985</TotalTime>
  <Pages>17</Pages>
  <Words>3678</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Abigail Liznick</cp:lastModifiedBy>
  <cp:revision>46</cp:revision>
  <cp:lastPrinted>2025-02-19T21:06:00Z</cp:lastPrinted>
  <dcterms:created xsi:type="dcterms:W3CDTF">2025-01-27T22:15:00Z</dcterms:created>
  <dcterms:modified xsi:type="dcterms:W3CDTF">2025-09-18T02:18:00Z</dcterms:modified>
</cp:coreProperties>
</file>