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29AD5" w14:textId="77777777" w:rsidR="004F0B04" w:rsidRPr="004F0B04" w:rsidRDefault="004F0B04" w:rsidP="004F0B04">
      <w:pPr>
        <w:spacing w:before="100" w:beforeAutospacing="1" w:after="100" w:afterAutospacing="1"/>
        <w:jc w:val="center"/>
        <w:outlineLvl w:val="0"/>
        <w:rPr>
          <w:rFonts w:ascii="Times New Roman" w:eastAsia="Times New Roman" w:hAnsi="Times New Roman" w:cs="Times New Roman"/>
          <w:b/>
          <w:bCs/>
          <w:color w:val="auto"/>
          <w:kern w:val="36"/>
          <w:sz w:val="56"/>
          <w:szCs w:val="56"/>
          <w:lang w:val="en-CA"/>
          <w14:ligatures w14:val="none"/>
        </w:rPr>
      </w:pPr>
      <w:r w:rsidRPr="004F0B04">
        <w:rPr>
          <w:rFonts w:ascii="Times New Roman" w:eastAsia="Times New Roman" w:hAnsi="Times New Roman" w:cs="Times New Roman"/>
          <w:b/>
          <w:bCs/>
          <w:color w:val="auto"/>
          <w:kern w:val="36"/>
          <w:sz w:val="56"/>
          <w:szCs w:val="56"/>
          <w:lang w:val="en-CA"/>
          <w14:ligatures w14:val="none"/>
        </w:rPr>
        <w:t>[Power Balance]</w:t>
      </w:r>
    </w:p>
    <w:p w14:paraId="206A9EDE" w14:textId="77777777" w:rsidR="004F0B04" w:rsidRPr="004F0B04" w:rsidRDefault="004F0B04" w:rsidP="004F0B04">
      <w:pPr>
        <w:spacing w:before="100" w:beforeAutospacing="1" w:after="100" w:afterAutospacing="1"/>
        <w:outlineLvl w:val="1"/>
        <w:rPr>
          <w:rFonts w:ascii="Times New Roman" w:eastAsia="Times New Roman" w:hAnsi="Times New Roman" w:cs="Times New Roman"/>
          <w:b/>
          <w:bCs/>
          <w:color w:val="auto"/>
          <w:kern w:val="0"/>
          <w:sz w:val="30"/>
          <w:szCs w:val="30"/>
          <w:lang w:val="en-CA"/>
          <w14:ligatures w14:val="none"/>
        </w:rPr>
      </w:pPr>
      <w:r w:rsidRPr="004F0B04">
        <w:rPr>
          <w:rFonts w:ascii="Times New Roman" w:eastAsia="Times New Roman" w:hAnsi="Times New Roman" w:cs="Times New Roman"/>
          <w:b/>
          <w:bCs/>
          <w:color w:val="auto"/>
          <w:kern w:val="0"/>
          <w:sz w:val="30"/>
          <w:szCs w:val="30"/>
          <w:lang w:val="en-CA"/>
          <w14:ligatures w14:val="none"/>
        </w:rPr>
        <w:t>Introduction (1:30 / t1:30)</w:t>
      </w:r>
    </w:p>
    <w:p w14:paraId="355D7B0C"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Good [</w:t>
      </w:r>
      <w:r w:rsidRPr="004F0B04">
        <w:rPr>
          <w:rFonts w:ascii="Times New Roman" w:eastAsia="Times New Roman" w:hAnsi="Times New Roman" w:cs="Times New Roman"/>
          <w:b/>
          <w:bCs/>
          <w:color w:val="auto"/>
          <w:kern w:val="0"/>
          <w:lang w:val="en-CA"/>
          <w14:ligatures w14:val="none"/>
        </w:rPr>
        <w:t>morning/afternoon</w:t>
      </w:r>
      <w:r w:rsidRPr="004F0B04">
        <w:rPr>
          <w:rFonts w:ascii="Times New Roman" w:eastAsia="Times New Roman" w:hAnsi="Times New Roman" w:cs="Times New Roman"/>
          <w:color w:val="auto"/>
          <w:kern w:val="0"/>
          <w:lang w:val="en-CA"/>
          <w14:ligatures w14:val="none"/>
        </w:rPr>
        <w:t>] Justices. My name is Won, and my co-counsel, Ms. Talha and I represent the Respondent, Ernest Morales.</w:t>
      </w:r>
    </w:p>
    <w:p w14:paraId="5E465160"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This case is about </w:t>
      </w:r>
      <w:r w:rsidRPr="004F0B04">
        <w:rPr>
          <w:rFonts w:ascii="Times New Roman" w:eastAsia="Times New Roman" w:hAnsi="Times New Roman" w:cs="Times New Roman"/>
          <w:b/>
          <w:bCs/>
          <w:color w:val="auto"/>
          <w:kern w:val="0"/>
          <w:lang w:val="en-CA"/>
          <w14:ligatures w14:val="none"/>
        </w:rPr>
        <w:t>power</w:t>
      </w:r>
      <w:r w:rsidRPr="004F0B04">
        <w:rPr>
          <w:rFonts w:ascii="Times New Roman" w:eastAsia="Times New Roman" w:hAnsi="Times New Roman" w:cs="Times New Roman"/>
          <w:color w:val="auto"/>
          <w:kern w:val="0"/>
          <w:lang w:val="en-CA"/>
          <w14:ligatures w14:val="none"/>
        </w:rPr>
        <w:t xml:space="preserve">—whether artists retain control over their work, or whether corporations can strip them of that control under the guise of legal exceptions. The Copyright Act is meant to balance the rights of creators and users, but EMI and Mr. </w:t>
      </w:r>
      <w:proofErr w:type="spellStart"/>
      <w:r w:rsidRPr="004F0B04">
        <w:rPr>
          <w:rFonts w:ascii="Times New Roman" w:eastAsia="Times New Roman" w:hAnsi="Times New Roman" w:cs="Times New Roman"/>
          <w:color w:val="auto"/>
          <w:kern w:val="0"/>
          <w:lang w:val="en-CA"/>
          <w14:ligatures w14:val="none"/>
        </w:rPr>
        <w:t>Dollaire</w:t>
      </w:r>
      <w:proofErr w:type="spellEnd"/>
      <w:r w:rsidRPr="004F0B04">
        <w:rPr>
          <w:rFonts w:ascii="Times New Roman" w:eastAsia="Times New Roman" w:hAnsi="Times New Roman" w:cs="Times New Roman"/>
          <w:color w:val="auto"/>
          <w:kern w:val="0"/>
          <w:lang w:val="en-CA"/>
          <w14:ligatures w14:val="none"/>
        </w:rPr>
        <w:t xml:space="preserve"> deliberately disregarded that balance, infringing both Mr. Morales’ copyright and his moral rights.</w:t>
      </w:r>
    </w:p>
    <w:p w14:paraId="4AACBDCB"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I will address the issue of copyright infringement: who owns the copyright to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xml:space="preserve">, and whether the appellants’ reproduction was lawful. My co-counsel will then demonstrate how EMI and Mr. </w:t>
      </w:r>
      <w:proofErr w:type="spellStart"/>
      <w:r w:rsidRPr="004F0B04">
        <w:rPr>
          <w:rFonts w:ascii="Times New Roman" w:eastAsia="Times New Roman" w:hAnsi="Times New Roman" w:cs="Times New Roman"/>
          <w:color w:val="auto"/>
          <w:kern w:val="0"/>
          <w:lang w:val="en-CA"/>
          <w14:ligatures w14:val="none"/>
        </w:rPr>
        <w:t>Dollaire</w:t>
      </w:r>
      <w:proofErr w:type="spellEnd"/>
      <w:r w:rsidRPr="004F0B04">
        <w:rPr>
          <w:rFonts w:ascii="Times New Roman" w:eastAsia="Times New Roman" w:hAnsi="Times New Roman" w:cs="Times New Roman"/>
          <w:color w:val="auto"/>
          <w:kern w:val="0"/>
          <w:lang w:val="en-CA"/>
          <w14:ligatures w14:val="none"/>
        </w:rPr>
        <w:t xml:space="preserve"> further violated Mr. Morales’ moral rights by distorting his work, falsely associating him with their business, and undermining his right to remain anonymous.</w:t>
      </w:r>
    </w:p>
    <w:p w14:paraId="5FFA007E" w14:textId="77777777" w:rsidR="004F0B04" w:rsidRPr="004F0B04" w:rsidRDefault="004F0B04" w:rsidP="004F0B04">
      <w:pPr>
        <w:spacing w:before="100" w:beforeAutospacing="1" w:after="100" w:afterAutospacing="1"/>
        <w:outlineLvl w:val="1"/>
        <w:rPr>
          <w:rFonts w:ascii="Times New Roman" w:eastAsia="Times New Roman" w:hAnsi="Times New Roman" w:cs="Times New Roman"/>
          <w:b/>
          <w:bCs/>
          <w:color w:val="auto"/>
          <w:kern w:val="0"/>
          <w:sz w:val="30"/>
          <w:szCs w:val="30"/>
          <w:lang w:val="en-CA"/>
          <w14:ligatures w14:val="none"/>
        </w:rPr>
      </w:pPr>
      <w:r w:rsidRPr="004F0B04">
        <w:rPr>
          <w:rFonts w:ascii="Times New Roman" w:eastAsia="Times New Roman" w:hAnsi="Times New Roman" w:cs="Times New Roman"/>
          <w:b/>
          <w:bCs/>
          <w:color w:val="auto"/>
          <w:kern w:val="0"/>
          <w:sz w:val="30"/>
          <w:szCs w:val="30"/>
          <w:lang w:val="en-CA"/>
          <w14:ligatures w14:val="none"/>
        </w:rPr>
        <w:t>Argument 1 (3:00 / t5:30)</w:t>
      </w:r>
    </w:p>
    <w:p w14:paraId="14F1C342"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definition s 13(1)</w:t>
      </w:r>
    </w:p>
    <w:p w14:paraId="19DC7A85"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Justices, copyright begins with the creator. Under section 13(1) of the Act, the author of an original work is the first owner of copyright, unless assigned in writing. As outlined in paragraph 12, Mr. Morales is indisputably the author of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xml:space="preserve"> meaning he holds the copyright.</w:t>
      </w:r>
    </w:p>
    <w:p w14:paraId="3A54F4FE"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appellant argument</w:t>
      </w:r>
    </w:p>
    <w:p w14:paraId="68478259"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The Appellants, however, argue that [</w:t>
      </w:r>
      <w:r w:rsidRPr="004F0B04">
        <w:rPr>
          <w:rFonts w:ascii="Times New Roman" w:eastAsia="Times New Roman" w:hAnsi="Times New Roman" w:cs="Times New Roman"/>
          <w:b/>
          <w:bCs/>
          <w:color w:val="auto"/>
          <w:kern w:val="0"/>
          <w:lang w:val="en-CA"/>
          <w14:ligatures w14:val="none"/>
        </w:rPr>
        <w:t xml:space="preserve">Mr. </w:t>
      </w:r>
      <w:proofErr w:type="spellStart"/>
      <w:r w:rsidRPr="004F0B04">
        <w:rPr>
          <w:rFonts w:ascii="Times New Roman" w:eastAsia="Times New Roman" w:hAnsi="Times New Roman" w:cs="Times New Roman"/>
          <w:b/>
          <w:bCs/>
          <w:color w:val="auto"/>
          <w:kern w:val="0"/>
          <w:lang w:val="en-CA"/>
          <w14:ligatures w14:val="none"/>
        </w:rPr>
        <w:t>Dollaire</w:t>
      </w:r>
      <w:proofErr w:type="spellEnd"/>
      <w:r w:rsidRPr="004F0B04">
        <w:rPr>
          <w:rFonts w:ascii="Times New Roman" w:eastAsia="Times New Roman" w:hAnsi="Times New Roman" w:cs="Times New Roman"/>
          <w:b/>
          <w:bCs/>
          <w:color w:val="auto"/>
          <w:kern w:val="0"/>
          <w:lang w:val="en-CA"/>
          <w14:ligatures w14:val="none"/>
        </w:rPr>
        <w:t xml:space="preserve"> / EMI</w:t>
      </w:r>
      <w:r w:rsidRPr="004F0B04">
        <w:rPr>
          <w:rFonts w:ascii="Times New Roman" w:eastAsia="Times New Roman" w:hAnsi="Times New Roman" w:cs="Times New Roman"/>
          <w:color w:val="auto"/>
          <w:kern w:val="0"/>
          <w:lang w:val="en-CA"/>
          <w14:ligatures w14:val="none"/>
        </w:rPr>
        <w:t>] owns the copyright under section 13(3), claiming that the painting was created in the course of employment. This argument fails, as discussed in paragraph 13.</w:t>
      </w:r>
    </w:p>
    <w:p w14:paraId="1A607484"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1.1 painting ≠ M’s professional responsibilities</w:t>
      </w:r>
    </w:p>
    <w:p w14:paraId="016299D0"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First, the painting was never part of Mr. Morales’ job. His role at EMI was President of Invest Strategy, not as an artist nor designer, and certainly not as someone tasked with painting murals for the company. The Supreme Court of Canada in </w:t>
      </w:r>
      <w:r w:rsidRPr="004F0B04">
        <w:rPr>
          <w:rFonts w:ascii="Times New Roman" w:eastAsia="Times New Roman" w:hAnsi="Times New Roman" w:cs="Times New Roman"/>
          <w:i/>
          <w:iCs/>
          <w:color w:val="auto"/>
          <w:kern w:val="0"/>
          <w:lang w:val="en-CA"/>
          <w14:ligatures w14:val="none"/>
        </w:rPr>
        <w:t>Keatley,</w:t>
      </w:r>
      <w:r w:rsidRPr="004F0B04">
        <w:rPr>
          <w:rFonts w:ascii="Times New Roman" w:eastAsia="Times New Roman" w:hAnsi="Times New Roman" w:cs="Times New Roman"/>
          <w:color w:val="auto"/>
          <w:kern w:val="0"/>
          <w:lang w:val="en-CA"/>
          <w14:ligatures w14:val="none"/>
        </w:rPr>
        <w:t xml:space="preserve"> as mentioned in paragraph 13, made it clear that employment-related work must be tied to an individual’s job duties. Creating an artistic work is far removed from investment strategy.</w:t>
      </w:r>
    </w:p>
    <w:p w14:paraId="3EB37A55"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1.2 painting not created under EMI’s control</w:t>
      </w:r>
    </w:p>
    <w:p w14:paraId="0668EA72"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Second, the painting was created independently of EMI. As outlined in paragraphs 14 to 16, Mr. Morales painted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xml:space="preserve"> on a weekend, using his own materials. There was no request from EMI, no commission, no directive - he painted it of his own volition. The court in </w:t>
      </w:r>
      <w:r w:rsidRPr="004F0B04">
        <w:rPr>
          <w:rFonts w:ascii="Times New Roman" w:eastAsia="Times New Roman" w:hAnsi="Times New Roman" w:cs="Times New Roman"/>
          <w:i/>
          <w:iCs/>
          <w:color w:val="auto"/>
          <w:kern w:val="0"/>
          <w:lang w:val="en-CA"/>
          <w14:ligatures w14:val="none"/>
        </w:rPr>
        <w:t>Wiebe,</w:t>
      </w:r>
      <w:r w:rsidRPr="004F0B04">
        <w:rPr>
          <w:rFonts w:ascii="Times New Roman" w:eastAsia="Times New Roman" w:hAnsi="Times New Roman" w:cs="Times New Roman"/>
          <w:color w:val="auto"/>
          <w:kern w:val="0"/>
          <w:lang w:val="en-CA"/>
          <w14:ligatures w14:val="none"/>
        </w:rPr>
        <w:t xml:space="preserve"> in </w:t>
      </w:r>
      <w:r w:rsidRPr="004F0B04">
        <w:rPr>
          <w:rFonts w:ascii="Times New Roman" w:eastAsia="Times New Roman" w:hAnsi="Times New Roman" w:cs="Times New Roman"/>
          <w:color w:val="auto"/>
          <w:kern w:val="0"/>
          <w:lang w:val="en-CA"/>
          <w14:ligatures w14:val="none"/>
        </w:rPr>
        <w:lastRenderedPageBreak/>
        <w:t>paragraph 15, emphasized that work done on an employee’s own time, with personal resources, and without employer oversight, does not qualify as work done in the course of employment.</w:t>
      </w:r>
    </w:p>
    <w:p w14:paraId="01F6D502"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1.3 thematic alignment</w:t>
      </w:r>
    </w:p>
    <w:p w14:paraId="75566D0A"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Third, thematic alignment with EMI does not make the painting an EMI work. In paragraph 16 of the factum, the court in </w:t>
      </w:r>
      <w:r w:rsidRPr="004F0B04">
        <w:rPr>
          <w:rFonts w:ascii="Times New Roman" w:eastAsia="Times New Roman" w:hAnsi="Times New Roman" w:cs="Times New Roman"/>
          <w:i/>
          <w:iCs/>
          <w:color w:val="auto"/>
          <w:kern w:val="0"/>
          <w:lang w:val="en-CA"/>
          <w14:ligatures w14:val="none"/>
        </w:rPr>
        <w:t>Wiebe</w:t>
      </w:r>
      <w:r w:rsidRPr="004F0B04">
        <w:rPr>
          <w:rFonts w:ascii="Times New Roman" w:eastAsia="Times New Roman" w:hAnsi="Times New Roman" w:cs="Times New Roman"/>
          <w:color w:val="auto"/>
          <w:kern w:val="0"/>
          <w:lang w:val="en-CA"/>
          <w14:ligatures w14:val="none"/>
        </w:rPr>
        <w:t xml:space="preserve"> held that mere alignment with corporate objectives is insufficient for copyright ownership under section 13(3) of the Act.</w:t>
      </w:r>
    </w:p>
    <w:p w14:paraId="0FA20522"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1.4. s 13(4) implied license</w:t>
      </w:r>
    </w:p>
    <w:p w14:paraId="55ABB45B"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The Appellants may argue that they had an implied license to use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xml:space="preserve">, given that it was painted in its boardroom. </w:t>
      </w:r>
      <w:r w:rsidRPr="004F0B04">
        <w:rPr>
          <w:rFonts w:ascii="Times New Roman" w:eastAsia="Times New Roman" w:hAnsi="Times New Roman" w:cs="Times New Roman"/>
          <w:b/>
          <w:bCs/>
          <w:color w:val="auto"/>
          <w:kern w:val="0"/>
          <w:lang w:val="en-CA"/>
          <w14:ligatures w14:val="none"/>
        </w:rPr>
        <w:t>Even if</w:t>
      </w:r>
      <w:r w:rsidRPr="004F0B04">
        <w:rPr>
          <w:rFonts w:ascii="Times New Roman" w:eastAsia="Times New Roman" w:hAnsi="Times New Roman" w:cs="Times New Roman"/>
          <w:color w:val="auto"/>
          <w:kern w:val="0"/>
          <w:lang w:val="en-CA"/>
          <w14:ligatures w14:val="none"/>
        </w:rPr>
        <w:t xml:space="preserve"> an implied license existed, it was limited and did not extend to public display or reproduction rights.</w:t>
      </w:r>
    </w:p>
    <w:p w14:paraId="3732DA14"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First, location alone does not imply broad display rights.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xml:space="preserve"> was created on a boardroom wall, making it difficult to relocate. The court in </w:t>
      </w:r>
      <w:r w:rsidRPr="004F0B04">
        <w:rPr>
          <w:rFonts w:ascii="Times New Roman" w:eastAsia="Times New Roman" w:hAnsi="Times New Roman" w:cs="Times New Roman"/>
          <w:i/>
          <w:iCs/>
          <w:color w:val="auto"/>
          <w:kern w:val="0"/>
          <w:lang w:val="en-CA"/>
          <w14:ligatures w14:val="none"/>
        </w:rPr>
        <w:t>Ritchie,</w:t>
      </w:r>
      <w:r w:rsidRPr="004F0B04">
        <w:rPr>
          <w:rFonts w:ascii="Times New Roman" w:eastAsia="Times New Roman" w:hAnsi="Times New Roman" w:cs="Times New Roman"/>
          <w:color w:val="auto"/>
          <w:kern w:val="0"/>
          <w:lang w:val="en-CA"/>
          <w14:ligatures w14:val="none"/>
        </w:rPr>
        <w:t xml:space="preserve"> mentioned in paragraph 17 of the factum, held that implied licenses be narrowly interpreted.</w:t>
      </w:r>
    </w:p>
    <w:p w14:paraId="34E514FF"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Second, implied license </w:t>
      </w:r>
      <w:r w:rsidRPr="004F0B04">
        <w:rPr>
          <w:rFonts w:ascii="Times New Roman" w:eastAsia="Times New Roman" w:hAnsi="Times New Roman" w:cs="Times New Roman"/>
          <w:b/>
          <w:bCs/>
          <w:color w:val="auto"/>
          <w:kern w:val="0"/>
          <w:lang w:val="en-CA"/>
          <w14:ligatures w14:val="none"/>
        </w:rPr>
        <w:t>does not cover</w:t>
      </w:r>
      <w:r w:rsidRPr="004F0B04">
        <w:rPr>
          <w:rFonts w:ascii="Times New Roman" w:eastAsia="Times New Roman" w:hAnsi="Times New Roman" w:cs="Times New Roman"/>
          <w:color w:val="auto"/>
          <w:kern w:val="0"/>
          <w:lang w:val="en-CA"/>
          <w14:ligatures w14:val="none"/>
        </w:rPr>
        <w:t xml:space="preserve"> reproduction rights. Section 3 of the Act distinguishes use from reproduction, and Theberge, as stated in paragraph 19, confirms that reproduction - like digitization and reprinting - requires </w:t>
      </w:r>
      <w:r w:rsidRPr="004F0B04">
        <w:rPr>
          <w:rFonts w:ascii="Times New Roman" w:eastAsia="Times New Roman" w:hAnsi="Times New Roman" w:cs="Times New Roman"/>
          <w:b/>
          <w:bCs/>
          <w:color w:val="auto"/>
          <w:kern w:val="0"/>
          <w:lang w:val="en-CA"/>
          <w14:ligatures w14:val="none"/>
        </w:rPr>
        <w:t>express authorization</w:t>
      </w:r>
      <w:r w:rsidRPr="004F0B04">
        <w:rPr>
          <w:rFonts w:ascii="Times New Roman" w:eastAsia="Times New Roman" w:hAnsi="Times New Roman" w:cs="Times New Roman"/>
          <w:color w:val="auto"/>
          <w:kern w:val="0"/>
          <w:lang w:val="en-CA"/>
          <w14:ligatures w14:val="none"/>
        </w:rPr>
        <w:t>. The Appellants’ actions clearly exceeded any reasonably implied licenses.</w:t>
      </w:r>
    </w:p>
    <w:p w14:paraId="53634B69"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Thus, [Mr. </w:t>
      </w:r>
      <w:proofErr w:type="spellStart"/>
      <w:r w:rsidRPr="004F0B04">
        <w:rPr>
          <w:rFonts w:ascii="Times New Roman" w:eastAsia="Times New Roman" w:hAnsi="Times New Roman" w:cs="Times New Roman"/>
          <w:color w:val="auto"/>
          <w:kern w:val="0"/>
          <w:lang w:val="en-CA"/>
          <w14:ligatures w14:val="none"/>
        </w:rPr>
        <w:t>Dollaire</w:t>
      </w:r>
      <w:proofErr w:type="spellEnd"/>
      <w:r w:rsidRPr="004F0B04">
        <w:rPr>
          <w:rFonts w:ascii="Times New Roman" w:eastAsia="Times New Roman" w:hAnsi="Times New Roman" w:cs="Times New Roman"/>
          <w:color w:val="auto"/>
          <w:kern w:val="0"/>
          <w:lang w:val="en-CA"/>
          <w14:ligatures w14:val="none"/>
        </w:rPr>
        <w:t xml:space="preserve"> / EMI] had no ownership, no broad display rights, and no right to reproduce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Their actions directly infringed Mr. Morales’ copyright.</w:t>
      </w:r>
    </w:p>
    <w:p w14:paraId="42C6B460" w14:textId="77777777" w:rsidR="004F0B04" w:rsidRDefault="004F0B04">
      <w:pPr>
        <w:rPr>
          <w:rFonts w:ascii="Times New Roman" w:eastAsia="Times New Roman" w:hAnsi="Times New Roman" w:cs="Times New Roman"/>
          <w:b/>
          <w:bCs/>
          <w:color w:val="auto"/>
          <w:kern w:val="0"/>
          <w:sz w:val="30"/>
          <w:szCs w:val="30"/>
          <w:lang w:val="en-CA"/>
          <w14:ligatures w14:val="none"/>
        </w:rPr>
      </w:pPr>
      <w:r>
        <w:rPr>
          <w:rFonts w:ascii="Times New Roman" w:eastAsia="Times New Roman" w:hAnsi="Times New Roman" w:cs="Times New Roman"/>
          <w:b/>
          <w:bCs/>
          <w:color w:val="auto"/>
          <w:kern w:val="0"/>
          <w:sz w:val="30"/>
          <w:szCs w:val="30"/>
          <w:lang w:val="en-CA"/>
          <w14:ligatures w14:val="none"/>
        </w:rPr>
        <w:br w:type="page"/>
      </w:r>
    </w:p>
    <w:p w14:paraId="2350CDA5" w14:textId="4C9D1F4D" w:rsidR="004F0B04" w:rsidRPr="004F0B04" w:rsidRDefault="004F0B04" w:rsidP="004F0B04">
      <w:pPr>
        <w:spacing w:before="100" w:beforeAutospacing="1" w:after="100" w:afterAutospacing="1"/>
        <w:outlineLvl w:val="1"/>
        <w:rPr>
          <w:rFonts w:ascii="Times New Roman" w:eastAsia="Times New Roman" w:hAnsi="Times New Roman" w:cs="Times New Roman"/>
          <w:b/>
          <w:bCs/>
          <w:color w:val="auto"/>
          <w:kern w:val="0"/>
          <w:sz w:val="30"/>
          <w:szCs w:val="30"/>
          <w:lang w:val="en-CA"/>
          <w14:ligatures w14:val="none"/>
        </w:rPr>
      </w:pPr>
      <w:r w:rsidRPr="004F0B04">
        <w:rPr>
          <w:rFonts w:ascii="Times New Roman" w:eastAsia="Times New Roman" w:hAnsi="Times New Roman" w:cs="Times New Roman"/>
          <w:b/>
          <w:bCs/>
          <w:color w:val="auto"/>
          <w:kern w:val="0"/>
          <w:sz w:val="30"/>
          <w:szCs w:val="30"/>
          <w:lang w:val="en-CA"/>
          <w14:ligatures w14:val="none"/>
        </w:rPr>
        <w:lastRenderedPageBreak/>
        <w:t>Argument 2 (7:00 / t14:00)</w:t>
      </w:r>
    </w:p>
    <w:p w14:paraId="6DEDE5E4"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With copyright ownership established, the next issue is whether the appellants violated Mr. Morales’ rights by </w:t>
      </w:r>
      <w:r w:rsidRPr="004F0B04">
        <w:rPr>
          <w:rFonts w:ascii="Times New Roman" w:eastAsia="Times New Roman" w:hAnsi="Times New Roman" w:cs="Times New Roman"/>
          <w:b/>
          <w:bCs/>
          <w:color w:val="auto"/>
          <w:kern w:val="0"/>
          <w:lang w:val="en-CA"/>
          <w14:ligatures w14:val="none"/>
        </w:rPr>
        <w:t>reproducing</w:t>
      </w:r>
      <w:r w:rsidRPr="004F0B04">
        <w:rPr>
          <w:rFonts w:ascii="Times New Roman" w:eastAsia="Times New Roman" w:hAnsi="Times New Roman" w:cs="Times New Roman"/>
          <w:color w:val="auto"/>
          <w:kern w:val="0"/>
          <w:lang w:val="en-CA"/>
          <w14:ligatures w14:val="none"/>
        </w:rPr>
        <w:t xml:space="preserve">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The answer is unequivocally yes.</w:t>
      </w:r>
    </w:p>
    <w:p w14:paraId="5A994972"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reproduction</w:t>
      </w:r>
    </w:p>
    <w:p w14:paraId="45A390BA"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Section 3(1) of the Act grants copyright holders the exclusive right to reproduce their work. The Supreme Court in </w:t>
      </w:r>
      <w:r w:rsidRPr="004F0B04">
        <w:rPr>
          <w:rFonts w:ascii="Times New Roman" w:eastAsia="Times New Roman" w:hAnsi="Times New Roman" w:cs="Times New Roman"/>
          <w:i/>
          <w:iCs/>
          <w:color w:val="auto"/>
          <w:kern w:val="0"/>
          <w:lang w:val="en-CA"/>
          <w14:ligatures w14:val="none"/>
        </w:rPr>
        <w:t>Theberge</w:t>
      </w:r>
      <w:r w:rsidRPr="004F0B04">
        <w:rPr>
          <w:rFonts w:ascii="Times New Roman" w:eastAsia="Times New Roman" w:hAnsi="Times New Roman" w:cs="Times New Roman"/>
          <w:color w:val="auto"/>
          <w:kern w:val="0"/>
          <w:lang w:val="en-CA"/>
          <w14:ligatures w14:val="none"/>
        </w:rPr>
        <w:t xml:space="preserve">, as referenced in paragraph 21, reaffirmed that reproduction means fixing the work in a different material form. Here, the appellants did exactly that - they created an unauthorized </w:t>
      </w:r>
      <w:r w:rsidRPr="004F0B04">
        <w:rPr>
          <w:rFonts w:ascii="Times New Roman" w:eastAsia="Times New Roman" w:hAnsi="Times New Roman" w:cs="Times New Roman"/>
          <w:b/>
          <w:bCs/>
          <w:color w:val="auto"/>
          <w:kern w:val="0"/>
          <w:lang w:val="en-CA"/>
          <w14:ligatures w14:val="none"/>
        </w:rPr>
        <w:t>digital</w:t>
      </w:r>
      <w:r w:rsidRPr="004F0B04">
        <w:rPr>
          <w:rFonts w:ascii="Times New Roman" w:eastAsia="Times New Roman" w:hAnsi="Times New Roman" w:cs="Times New Roman"/>
          <w:color w:val="auto"/>
          <w:kern w:val="0"/>
          <w:lang w:val="en-CA"/>
          <w14:ligatures w14:val="none"/>
        </w:rPr>
        <w:t xml:space="preserve"> reproduction and a </w:t>
      </w:r>
      <w:r w:rsidRPr="004F0B04">
        <w:rPr>
          <w:rFonts w:ascii="Times New Roman" w:eastAsia="Times New Roman" w:hAnsi="Times New Roman" w:cs="Times New Roman"/>
          <w:b/>
          <w:bCs/>
          <w:color w:val="auto"/>
          <w:kern w:val="0"/>
          <w:lang w:val="en-CA"/>
          <w14:ligatures w14:val="none"/>
        </w:rPr>
        <w:t>printed</w:t>
      </w:r>
      <w:r w:rsidRPr="004F0B04">
        <w:rPr>
          <w:rFonts w:ascii="Times New Roman" w:eastAsia="Times New Roman" w:hAnsi="Times New Roman" w:cs="Times New Roman"/>
          <w:color w:val="auto"/>
          <w:kern w:val="0"/>
          <w:lang w:val="en-CA"/>
          <w14:ligatures w14:val="none"/>
        </w:rPr>
        <w:t xml:space="preserve"> copy, both without Mr. Morales’ consent.</w:t>
      </w:r>
    </w:p>
    <w:p w14:paraId="2EF40225"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s 29.24</w:t>
      </w:r>
    </w:p>
    <w:p w14:paraId="6202FF5C"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The Appellants attempt to justify their actions under section 29.24, claiming that the reproduction was merely a “Backup copy”. In paragraph 22 of the factum, the Court in CCH emphasized that copyright exceptions be interpreted restrictively, in line with the purpose of the Act. Here, the Appellants’ actions exceed the boundaries of this provision and violate both sections 29.24(1)(a) and (1)(d).</w:t>
      </w:r>
    </w:p>
    <w:p w14:paraId="280B55EC"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First, the reproduction was not created “solely for backup purposes”, as required under the provision, further elaborated in paragraph 25. If the Appellants’ true concern was preservation, the original painting would have remained in place. Instead, the original was transferred to Mr. </w:t>
      </w:r>
      <w:proofErr w:type="spellStart"/>
      <w:r w:rsidRPr="004F0B04">
        <w:rPr>
          <w:rFonts w:ascii="Times New Roman" w:eastAsia="Times New Roman" w:hAnsi="Times New Roman" w:cs="Times New Roman"/>
          <w:color w:val="auto"/>
          <w:kern w:val="0"/>
          <w:lang w:val="en-CA"/>
          <w14:ligatures w14:val="none"/>
        </w:rPr>
        <w:t>Dollaire’s</w:t>
      </w:r>
      <w:proofErr w:type="spellEnd"/>
      <w:r w:rsidRPr="004F0B04">
        <w:rPr>
          <w:rFonts w:ascii="Times New Roman" w:eastAsia="Times New Roman" w:hAnsi="Times New Roman" w:cs="Times New Roman"/>
          <w:color w:val="auto"/>
          <w:kern w:val="0"/>
          <w:lang w:val="en-CA"/>
          <w14:ligatures w14:val="none"/>
        </w:rPr>
        <w:t xml:space="preserve"> private collection while the reproduction was publicly displayed in EMI’s corporate lobby. The Appellants were not safeguarding the painting - they were actively using both the original and the copy, undermining the very justification for the exception.</w:t>
      </w:r>
    </w:p>
    <w:p w14:paraId="55EC0EFB"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Second, section 29.24(1)(b) requires that the reproduction be made from a non-infringing source. Here, the printed reproduction was created from the digital copy, which is an infringing source. An infringing copy cannot be used to justify further reproductions under this exception.</w:t>
      </w:r>
    </w:p>
    <w:p w14:paraId="5C07A1A0"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Third, the reproduction was “given away” in violation of section 29.24(1)(d). Paragraph 26 highlights that the moment EMI displayed the painting in their lobby, Mr. </w:t>
      </w:r>
      <w:proofErr w:type="spellStart"/>
      <w:r w:rsidRPr="004F0B04">
        <w:rPr>
          <w:rFonts w:ascii="Times New Roman" w:eastAsia="Times New Roman" w:hAnsi="Times New Roman" w:cs="Times New Roman"/>
          <w:color w:val="auto"/>
          <w:kern w:val="0"/>
          <w:lang w:val="en-CA"/>
          <w14:ligatures w14:val="none"/>
        </w:rPr>
        <w:t>Dollaire</w:t>
      </w:r>
      <w:proofErr w:type="spellEnd"/>
      <w:r w:rsidRPr="004F0B04">
        <w:rPr>
          <w:rFonts w:ascii="Times New Roman" w:eastAsia="Times New Roman" w:hAnsi="Times New Roman" w:cs="Times New Roman"/>
          <w:color w:val="auto"/>
          <w:kern w:val="0"/>
          <w:lang w:val="en-CA"/>
          <w14:ligatures w14:val="none"/>
        </w:rPr>
        <w:t xml:space="preserve"> transferred possession of the copy to EMI, making it </w:t>
      </w:r>
      <w:r w:rsidRPr="004F0B04">
        <w:rPr>
          <w:rFonts w:ascii="Times New Roman" w:eastAsia="Times New Roman" w:hAnsi="Times New Roman" w:cs="Times New Roman"/>
          <w:b/>
          <w:bCs/>
          <w:color w:val="auto"/>
          <w:kern w:val="0"/>
          <w:lang w:val="en-CA"/>
          <w14:ligatures w14:val="none"/>
        </w:rPr>
        <w:t>publicly accessible</w:t>
      </w:r>
      <w:r w:rsidRPr="004F0B04">
        <w:rPr>
          <w:rFonts w:ascii="Times New Roman" w:eastAsia="Times New Roman" w:hAnsi="Times New Roman" w:cs="Times New Roman"/>
          <w:color w:val="auto"/>
          <w:kern w:val="0"/>
          <w:lang w:val="en-CA"/>
          <w14:ligatures w14:val="none"/>
        </w:rPr>
        <w:t xml:space="preserve">. The Court in </w:t>
      </w:r>
      <w:r w:rsidRPr="004F0B04">
        <w:rPr>
          <w:rFonts w:ascii="Times New Roman" w:eastAsia="Times New Roman" w:hAnsi="Times New Roman" w:cs="Times New Roman"/>
          <w:i/>
          <w:iCs/>
          <w:color w:val="auto"/>
          <w:kern w:val="0"/>
          <w:lang w:val="en-CA"/>
          <w14:ligatures w14:val="none"/>
        </w:rPr>
        <w:t>CCH,</w:t>
      </w:r>
      <w:r w:rsidRPr="004F0B04">
        <w:rPr>
          <w:rFonts w:ascii="Times New Roman" w:eastAsia="Times New Roman" w:hAnsi="Times New Roman" w:cs="Times New Roman"/>
          <w:color w:val="auto"/>
          <w:kern w:val="0"/>
          <w:lang w:val="en-CA"/>
          <w14:ligatures w14:val="none"/>
        </w:rPr>
        <w:t xml:space="preserve"> as cited in paragraph 22, made it clear that statutory exceptions must be interpreted narrowly. Expanding “backup copy” protections to </w:t>
      </w:r>
      <w:r w:rsidRPr="004F0B04">
        <w:rPr>
          <w:rFonts w:ascii="Times New Roman" w:eastAsia="Times New Roman" w:hAnsi="Times New Roman" w:cs="Times New Roman"/>
          <w:b/>
          <w:bCs/>
          <w:color w:val="auto"/>
          <w:kern w:val="0"/>
          <w:lang w:val="en-CA"/>
          <w14:ligatures w14:val="none"/>
        </w:rPr>
        <w:t>justify</w:t>
      </w:r>
      <w:r w:rsidRPr="004F0B04">
        <w:rPr>
          <w:rFonts w:ascii="Times New Roman" w:eastAsia="Times New Roman" w:hAnsi="Times New Roman" w:cs="Times New Roman"/>
          <w:color w:val="auto"/>
          <w:kern w:val="0"/>
          <w:lang w:val="en-CA"/>
          <w14:ligatures w14:val="none"/>
        </w:rPr>
        <w:t xml:space="preserve"> both public display </w:t>
      </w:r>
      <w:r w:rsidRPr="004F0B04">
        <w:rPr>
          <w:rFonts w:ascii="Times New Roman" w:eastAsia="Times New Roman" w:hAnsi="Times New Roman" w:cs="Times New Roman"/>
          <w:b/>
          <w:bCs/>
          <w:color w:val="auto"/>
          <w:kern w:val="0"/>
          <w:lang w:val="en-CA"/>
          <w14:ligatures w14:val="none"/>
        </w:rPr>
        <w:t>and</w:t>
      </w:r>
      <w:r w:rsidRPr="004F0B04">
        <w:rPr>
          <w:rFonts w:ascii="Times New Roman" w:eastAsia="Times New Roman" w:hAnsi="Times New Roman" w:cs="Times New Roman"/>
          <w:color w:val="auto"/>
          <w:kern w:val="0"/>
          <w:lang w:val="en-CA"/>
          <w14:ligatures w14:val="none"/>
        </w:rPr>
        <w:t xml:space="preserve"> the transfer of possession would distort the very purpose of the provision.</w:t>
      </w:r>
    </w:p>
    <w:p w14:paraId="2BD06D4A" w14:textId="77777777" w:rsidR="004F0B04" w:rsidRPr="004F0B04" w:rsidRDefault="004F0B04" w:rsidP="004F0B04">
      <w:pPr>
        <w:spacing w:before="100" w:beforeAutospacing="1" w:after="100" w:afterAutospacing="1"/>
        <w:outlineLvl w:val="2"/>
        <w:rPr>
          <w:rFonts w:ascii="Times New Roman" w:eastAsia="Times New Roman" w:hAnsi="Times New Roman" w:cs="Times New Roman"/>
          <w:b/>
          <w:bCs/>
          <w:color w:val="auto"/>
          <w:kern w:val="0"/>
          <w:sz w:val="27"/>
          <w:szCs w:val="27"/>
          <w:lang w:val="en-CA"/>
          <w14:ligatures w14:val="none"/>
        </w:rPr>
      </w:pPr>
      <w:r w:rsidRPr="004F0B04">
        <w:rPr>
          <w:rFonts w:ascii="Times New Roman" w:eastAsia="Times New Roman" w:hAnsi="Times New Roman" w:cs="Times New Roman"/>
          <w:b/>
          <w:bCs/>
          <w:color w:val="auto"/>
          <w:kern w:val="0"/>
          <w:sz w:val="27"/>
          <w:szCs w:val="27"/>
          <w:lang w:val="en-CA"/>
          <w14:ligatures w14:val="none"/>
        </w:rPr>
        <w:t>s 29.22</w:t>
      </w:r>
    </w:p>
    <w:p w14:paraId="75FD7484"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Section 29.22 is a limited exception designed to allow individuals to make reproductions strictly for personal, non-commercial purposes. (As emphasized in </w:t>
      </w:r>
      <w:r w:rsidRPr="004F0B04">
        <w:rPr>
          <w:rFonts w:ascii="Times New Roman" w:eastAsia="Times New Roman" w:hAnsi="Times New Roman" w:cs="Times New Roman"/>
          <w:i/>
          <w:iCs/>
          <w:color w:val="auto"/>
          <w:kern w:val="0"/>
          <w:lang w:val="en-CA"/>
          <w14:ligatures w14:val="none"/>
        </w:rPr>
        <w:t>CCH</w:t>
      </w:r>
      <w:r w:rsidRPr="004F0B04">
        <w:rPr>
          <w:rFonts w:ascii="Times New Roman" w:eastAsia="Times New Roman" w:hAnsi="Times New Roman" w:cs="Times New Roman"/>
          <w:color w:val="auto"/>
          <w:kern w:val="0"/>
          <w:lang w:val="en-CA"/>
          <w14:ligatures w14:val="none"/>
        </w:rPr>
        <w:t>, in paragraph 22, copyright exceptions must be narrowly interpreted.) But here, the Appellants attempt to stretch this provision far beyond its intended scope.</w:t>
      </w:r>
    </w:p>
    <w:p w14:paraId="176BD47B"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lastRenderedPageBreak/>
        <w:t xml:space="preserve">First, as previously discussed under section 29.24, the printed reproduction also fails to meet the requirements of section 29.22(1)(a) under the principle of </w:t>
      </w:r>
      <w:r w:rsidRPr="004F0B04">
        <w:rPr>
          <w:rFonts w:ascii="Times New Roman" w:eastAsia="Times New Roman" w:hAnsi="Times New Roman" w:cs="Times New Roman"/>
          <w:i/>
          <w:iCs/>
          <w:color w:val="auto"/>
          <w:kern w:val="0"/>
          <w:lang w:val="en-CA"/>
          <w14:ligatures w14:val="none"/>
        </w:rPr>
        <w:t xml:space="preserve">in </w:t>
      </w:r>
      <w:proofErr w:type="spellStart"/>
      <w:r w:rsidRPr="004F0B04">
        <w:rPr>
          <w:rFonts w:ascii="Times New Roman" w:eastAsia="Times New Roman" w:hAnsi="Times New Roman" w:cs="Times New Roman"/>
          <w:i/>
          <w:iCs/>
          <w:color w:val="auto"/>
          <w:kern w:val="0"/>
          <w:lang w:val="en-CA"/>
          <w14:ligatures w14:val="none"/>
        </w:rPr>
        <w:t>pari</w:t>
      </w:r>
      <w:proofErr w:type="spellEnd"/>
      <w:r w:rsidRPr="004F0B04">
        <w:rPr>
          <w:rFonts w:ascii="Times New Roman" w:eastAsia="Times New Roman" w:hAnsi="Times New Roman" w:cs="Times New Roman"/>
          <w:i/>
          <w:iCs/>
          <w:color w:val="auto"/>
          <w:kern w:val="0"/>
          <w:lang w:val="en-CA"/>
          <w14:ligatures w14:val="none"/>
        </w:rPr>
        <w:t xml:space="preserve"> </w:t>
      </w:r>
      <w:proofErr w:type="spellStart"/>
      <w:r w:rsidRPr="004F0B04">
        <w:rPr>
          <w:rFonts w:ascii="Times New Roman" w:eastAsia="Times New Roman" w:hAnsi="Times New Roman" w:cs="Times New Roman"/>
          <w:i/>
          <w:iCs/>
          <w:color w:val="auto"/>
          <w:kern w:val="0"/>
          <w:lang w:val="en-CA"/>
          <w14:ligatures w14:val="none"/>
        </w:rPr>
        <w:t>materia</w:t>
      </w:r>
      <w:proofErr w:type="spellEnd"/>
      <w:r w:rsidRPr="004F0B04">
        <w:rPr>
          <w:rFonts w:ascii="Times New Roman" w:eastAsia="Times New Roman" w:hAnsi="Times New Roman" w:cs="Times New Roman"/>
          <w:color w:val="auto"/>
          <w:kern w:val="0"/>
          <w:lang w:val="en-CA"/>
          <w14:ligatures w14:val="none"/>
        </w:rPr>
        <w:t>.</w:t>
      </w:r>
    </w:p>
    <w:p w14:paraId="1EC33526"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Second, as explained in paragraph 29 of the factum, section 29.22(1)(d) prohibits reproductions from being “given away.” This principle was already established in the section 29.24 argument. Here, once the painting was displayed in EMI’s corporate lobby, possession and control of the reproduction shifted from Mr. </w:t>
      </w:r>
      <w:proofErr w:type="spellStart"/>
      <w:r w:rsidRPr="004F0B04">
        <w:rPr>
          <w:rFonts w:ascii="Times New Roman" w:eastAsia="Times New Roman" w:hAnsi="Times New Roman" w:cs="Times New Roman"/>
          <w:color w:val="auto"/>
          <w:kern w:val="0"/>
          <w:lang w:val="en-CA"/>
          <w14:ligatures w14:val="none"/>
        </w:rPr>
        <w:t>Dollaire</w:t>
      </w:r>
      <w:proofErr w:type="spellEnd"/>
      <w:r w:rsidRPr="004F0B04">
        <w:rPr>
          <w:rFonts w:ascii="Times New Roman" w:eastAsia="Times New Roman" w:hAnsi="Times New Roman" w:cs="Times New Roman"/>
          <w:color w:val="auto"/>
          <w:kern w:val="0"/>
          <w:lang w:val="en-CA"/>
          <w14:ligatures w14:val="none"/>
        </w:rPr>
        <w:t xml:space="preserve"> to EMI. The Appellants cannot claim the reproduction was for private use while </w:t>
      </w:r>
      <w:r w:rsidRPr="004F0B04">
        <w:rPr>
          <w:rFonts w:ascii="Times New Roman" w:eastAsia="Times New Roman" w:hAnsi="Times New Roman" w:cs="Times New Roman"/>
          <w:b/>
          <w:bCs/>
          <w:color w:val="auto"/>
          <w:kern w:val="0"/>
          <w:lang w:val="en-CA"/>
          <w14:ligatures w14:val="none"/>
        </w:rPr>
        <w:t>simultaneously</w:t>
      </w:r>
      <w:r w:rsidRPr="004F0B04">
        <w:rPr>
          <w:rFonts w:ascii="Times New Roman" w:eastAsia="Times New Roman" w:hAnsi="Times New Roman" w:cs="Times New Roman"/>
          <w:color w:val="auto"/>
          <w:kern w:val="0"/>
          <w:lang w:val="en-CA"/>
          <w14:ligatures w14:val="none"/>
        </w:rPr>
        <w:t xml:space="preserve"> making it publicly available.</w:t>
      </w:r>
    </w:p>
    <w:p w14:paraId="41DAAAB4"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Third, section 29.22(1)(e) applies only to “individuals.” As stated in paragraph 31, EMI is a corporation, and corporations do not qualify as individuals under the Act. Since this exception is strictly personal in nature, it cannot be invoked by businesses or legal entities.</w:t>
      </w:r>
    </w:p>
    <w:p w14:paraId="7CD38232"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Even if Mr. </w:t>
      </w:r>
      <w:proofErr w:type="spellStart"/>
      <w:r w:rsidRPr="004F0B04">
        <w:rPr>
          <w:rFonts w:ascii="Times New Roman" w:eastAsia="Times New Roman" w:hAnsi="Times New Roman" w:cs="Times New Roman"/>
          <w:color w:val="auto"/>
          <w:kern w:val="0"/>
          <w:lang w:val="en-CA"/>
          <w14:ligatures w14:val="none"/>
        </w:rPr>
        <w:t>Dollaire</w:t>
      </w:r>
      <w:proofErr w:type="spellEnd"/>
      <w:r w:rsidRPr="004F0B04">
        <w:rPr>
          <w:rFonts w:ascii="Times New Roman" w:eastAsia="Times New Roman" w:hAnsi="Times New Roman" w:cs="Times New Roman"/>
          <w:color w:val="auto"/>
          <w:kern w:val="0"/>
          <w:lang w:val="en-CA"/>
          <w14:ligatures w14:val="none"/>
        </w:rPr>
        <w:t xml:space="preserve">, as an individual, had made the reproduction, it still would not qualify as “private use.” As mentioned in paragraph 33, a reproduction displayed in a corporate lobby—a space accessible to employees, clients, and visitors—clearly falls outside the scope of private use. The Supreme Court in </w:t>
      </w:r>
      <w:r w:rsidRPr="004F0B04">
        <w:rPr>
          <w:rFonts w:ascii="Times New Roman" w:eastAsia="Times New Roman" w:hAnsi="Times New Roman" w:cs="Times New Roman"/>
          <w:i/>
          <w:iCs/>
          <w:color w:val="auto"/>
          <w:kern w:val="0"/>
          <w:lang w:val="en-CA"/>
          <w14:ligatures w14:val="none"/>
        </w:rPr>
        <w:t>Commonwealth</w:t>
      </w:r>
      <w:r w:rsidRPr="004F0B04">
        <w:rPr>
          <w:rFonts w:ascii="Times New Roman" w:eastAsia="Times New Roman" w:hAnsi="Times New Roman" w:cs="Times New Roman"/>
          <w:color w:val="auto"/>
          <w:kern w:val="0"/>
          <w:lang w:val="en-CA"/>
          <w14:ligatures w14:val="none"/>
        </w:rPr>
        <w:t xml:space="preserve"> held that even partially accessible spaces carry a public character. EMI’s use of the painting was anything but private.</w:t>
      </w:r>
    </w:p>
    <w:p w14:paraId="5936AAF4"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Justices, the Appellants’ reliance on sections 29.24 and 29.22 is entirely misplaced. These provisions do not justify unauthorized reproductions, public displays, or transfers of possession. The Appellants exceeded section 29.24 by using both the original and the reproduction and giving away the copy. Likewise, they violated section 29.22 by failing to keep the reproduction private and making it publicly accessible. This was not preservation or private use—it was a deliberate attempt to override Mr. Morales’ objections and continue benefiting from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w:t>
      </w:r>
    </w:p>
    <w:p w14:paraId="214936F9" w14:textId="77777777" w:rsidR="004F0B04" w:rsidRPr="004F0B04" w:rsidRDefault="004F0B04" w:rsidP="004F0B04">
      <w:pPr>
        <w:spacing w:before="100" w:beforeAutospacing="1" w:after="100" w:afterAutospacing="1"/>
        <w:outlineLvl w:val="1"/>
        <w:rPr>
          <w:rFonts w:ascii="Times New Roman" w:eastAsia="Times New Roman" w:hAnsi="Times New Roman" w:cs="Times New Roman"/>
          <w:b/>
          <w:bCs/>
          <w:color w:val="auto"/>
          <w:kern w:val="0"/>
          <w:sz w:val="30"/>
          <w:szCs w:val="30"/>
          <w:lang w:val="en-CA"/>
          <w14:ligatures w14:val="none"/>
        </w:rPr>
      </w:pPr>
      <w:r w:rsidRPr="004F0B04">
        <w:rPr>
          <w:rFonts w:ascii="Times New Roman" w:eastAsia="Times New Roman" w:hAnsi="Times New Roman" w:cs="Times New Roman"/>
          <w:b/>
          <w:bCs/>
          <w:color w:val="auto"/>
          <w:kern w:val="0"/>
          <w:sz w:val="30"/>
          <w:szCs w:val="30"/>
          <w:lang w:val="en-CA"/>
          <w14:ligatures w14:val="none"/>
        </w:rPr>
        <w:t>Conclusion (1:00 / t15:00)</w:t>
      </w:r>
    </w:p>
    <w:p w14:paraId="10CEAA41"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This case is not just about statutory exceptions—it is about control over creative works. If the Appellants’ actions are permitted, it would set a dangerous precedent where corporations can strip artists of their rights under the guise of copyright exceptions.</w:t>
      </w:r>
    </w:p>
    <w:p w14:paraId="63663124" w14:textId="77777777" w:rsidR="004F0B04" w:rsidRPr="004F0B04" w:rsidRDefault="004F0B04" w:rsidP="004F0B04">
      <w:pPr>
        <w:spacing w:before="100" w:beforeAutospacing="1" w:after="100" w:afterAutospacing="1"/>
        <w:rPr>
          <w:rFonts w:ascii="Times New Roman" w:eastAsia="Times New Roman" w:hAnsi="Times New Roman" w:cs="Times New Roman"/>
          <w:color w:val="auto"/>
          <w:kern w:val="0"/>
          <w:lang w:val="en-CA"/>
          <w14:ligatures w14:val="none"/>
        </w:rPr>
      </w:pPr>
      <w:r w:rsidRPr="004F0B04">
        <w:rPr>
          <w:rFonts w:ascii="Times New Roman" w:eastAsia="Times New Roman" w:hAnsi="Times New Roman" w:cs="Times New Roman"/>
          <w:color w:val="auto"/>
          <w:kern w:val="0"/>
          <w:lang w:val="en-CA"/>
          <w14:ligatures w14:val="none"/>
        </w:rPr>
        <w:t xml:space="preserve">My co-counsel will now address the Appellants’ infringement of Mr. Morales’ moral rights, including how the reproduction and display of </w:t>
      </w:r>
      <w:r w:rsidRPr="004F0B04">
        <w:rPr>
          <w:rFonts w:ascii="Times New Roman" w:eastAsia="Times New Roman" w:hAnsi="Times New Roman" w:cs="Times New Roman"/>
          <w:i/>
          <w:iCs/>
          <w:color w:val="auto"/>
          <w:kern w:val="0"/>
          <w:lang w:val="en-CA"/>
          <w14:ligatures w14:val="none"/>
        </w:rPr>
        <w:t>Greedy Investor</w:t>
      </w:r>
      <w:r w:rsidRPr="004F0B04">
        <w:rPr>
          <w:rFonts w:ascii="Times New Roman" w:eastAsia="Times New Roman" w:hAnsi="Times New Roman" w:cs="Times New Roman"/>
          <w:color w:val="auto"/>
          <w:kern w:val="0"/>
          <w:lang w:val="en-CA"/>
          <w14:ligatures w14:val="none"/>
        </w:rPr>
        <w:t xml:space="preserve"> distorted his work, falsely associated him with EMI, and violated his right to remain anonymous.</w:t>
      </w:r>
    </w:p>
    <w:p w14:paraId="0D4CCF5A" w14:textId="77777777" w:rsidR="003E6B3D" w:rsidRDefault="003E6B3D"/>
    <w:sectPr w:rsidR="003E6B3D" w:rsidSect="004E70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851B6ED-30EA-B548-B28D-71C7FAB5BA1B}"/>
    <w:embedBold r:id="rId2" w:fontKey="{E8C8C494-79BC-3D44-852B-9CA4CAEBB921}"/>
    <w:embedItalic r:id="rId3" w:fontKey="{76808FEC-D3F0-224A-9BC1-7B0A5210A6F5}"/>
  </w:font>
  <w:font w:name="Arial">
    <w:panose1 w:val="020B0604020202020204"/>
    <w:charset w:val="CC"/>
    <w:family w:val="swiss"/>
    <w:pitch w:val="variable"/>
    <w:sig w:usb0="E0002AFF" w:usb1="C0007843" w:usb2="00000009" w:usb3="00000000" w:csb0="000001FF" w:csb1="00000000"/>
    <w:embedRegular r:id="rId4" w:fontKey="{9B6C2834-6F8C-C546-AB33-9B25039A5D96}"/>
    <w:embedBold r:id="rId5" w:fontKey="{FD504C7A-D927-EC40-BA3D-F28C4FC8B5F9}"/>
    <w:embedItalic r:id="rId6" w:fontKey="{D569B44F-8017-2244-BBD4-8B8C5678FA8D}"/>
    <w:embedBoldItalic r:id="rId7" w:fontKey="{15890EDA-E315-4542-B777-8FD2C6BF079D}"/>
  </w:font>
  <w:font w:name="Noto Sans KR Regular">
    <w:panose1 w:val="020B0500000000000000"/>
    <w:charset w:val="80"/>
    <w:family w:val="swiss"/>
    <w:notTrueType/>
    <w:pitch w:val="variable"/>
    <w:sig w:usb0="10000003" w:usb1="09D73410" w:usb2="00000010" w:usb3="00000000" w:csb0="002E0107" w:csb1="00000000"/>
  </w:font>
  <w:font w:name="Times New Roman (Body CS)">
    <w:altName w:val="Times New Roman"/>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11" w:fontKey="{43922EFB-F34E-A94D-8035-A2FEFD5BC637}"/>
    <w:embedItalic r:id="rId12" w:fontKey="{2923A1DD-9FA1-CB4E-A1C6-02437961A6D0}"/>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embedRegular r:id="rId13" w:fontKey="{321EDB20-A00D-6D40-AAB7-C7F13E56D8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E19"/>
    <w:multiLevelType w:val="hybridMultilevel"/>
    <w:tmpl w:val="C27EFBC2"/>
    <w:lvl w:ilvl="0" w:tplc="C96A74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418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B04"/>
    <w:rsid w:val="00040A4D"/>
    <w:rsid w:val="00050061"/>
    <w:rsid w:val="00076EB2"/>
    <w:rsid w:val="000B1E2E"/>
    <w:rsid w:val="00124A9D"/>
    <w:rsid w:val="00141FBA"/>
    <w:rsid w:val="00162ADF"/>
    <w:rsid w:val="001E0841"/>
    <w:rsid w:val="001F373B"/>
    <w:rsid w:val="001F716E"/>
    <w:rsid w:val="00241916"/>
    <w:rsid w:val="00256708"/>
    <w:rsid w:val="00323EE8"/>
    <w:rsid w:val="0033530A"/>
    <w:rsid w:val="003757DC"/>
    <w:rsid w:val="003C33E3"/>
    <w:rsid w:val="003E6B3D"/>
    <w:rsid w:val="00403C55"/>
    <w:rsid w:val="0045585C"/>
    <w:rsid w:val="004E703F"/>
    <w:rsid w:val="004F0B04"/>
    <w:rsid w:val="005164D1"/>
    <w:rsid w:val="00683AA8"/>
    <w:rsid w:val="006A3292"/>
    <w:rsid w:val="006B2640"/>
    <w:rsid w:val="006E6802"/>
    <w:rsid w:val="006F5A49"/>
    <w:rsid w:val="00742739"/>
    <w:rsid w:val="007D276F"/>
    <w:rsid w:val="008178BA"/>
    <w:rsid w:val="00865D9C"/>
    <w:rsid w:val="0091329B"/>
    <w:rsid w:val="00A03AA7"/>
    <w:rsid w:val="00C1752D"/>
    <w:rsid w:val="00C44CF2"/>
    <w:rsid w:val="00CE3AF0"/>
    <w:rsid w:val="00DA0584"/>
    <w:rsid w:val="00DA7221"/>
    <w:rsid w:val="00E22EBA"/>
    <w:rsid w:val="00E444FA"/>
    <w:rsid w:val="00E5323D"/>
    <w:rsid w:val="00EF22FD"/>
    <w:rsid w:val="00F834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49EA849E"/>
  <w14:defaultImageDpi w14:val="32767"/>
  <w15:chartTrackingRefBased/>
  <w15:docId w15:val="{53CBE486-099D-774F-A9BB-E9789C3F9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Noto Sans KR Regular" w:hAnsi="Arial" w:cs="Times New Roman (Body CS)"/>
        <w:color w:val="000000" w:themeColor="text1"/>
        <w:kern w:val="2"/>
        <w:sz w:val="24"/>
        <w:szCs w:val="24"/>
        <w:lang w:val="en-US"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E0841"/>
  </w:style>
  <w:style w:type="paragraph" w:styleId="Heading1">
    <w:name w:val="heading 1"/>
    <w:basedOn w:val="Normal"/>
    <w:next w:val="Normal"/>
    <w:link w:val="Heading1Char"/>
    <w:uiPriority w:val="9"/>
    <w:qFormat/>
    <w:rsid w:val="001E0841"/>
    <w:pPr>
      <w:outlineLvl w:val="0"/>
    </w:pPr>
    <w:rPr>
      <w:spacing w:val="1"/>
      <w:kern w:val="0"/>
      <w:sz w:val="30"/>
      <w:szCs w:val="30"/>
      <w:fitText w:val="2262" w:id="-1041511934"/>
    </w:rPr>
  </w:style>
  <w:style w:type="paragraph" w:styleId="Heading2">
    <w:name w:val="heading 2"/>
    <w:basedOn w:val="Normal"/>
    <w:next w:val="Normal"/>
    <w:link w:val="Heading2Char"/>
    <w:uiPriority w:val="9"/>
    <w:unhideWhenUsed/>
    <w:qFormat/>
    <w:rsid w:val="001E0841"/>
    <w:pPr>
      <w:spacing w:after="240"/>
      <w:outlineLvl w:val="1"/>
    </w:pPr>
    <w:rPr>
      <w:sz w:val="20"/>
      <w:szCs w:val="20"/>
      <w:u w:val="single"/>
    </w:rPr>
  </w:style>
  <w:style w:type="paragraph" w:styleId="Heading3">
    <w:name w:val="heading 3"/>
    <w:basedOn w:val="Normal"/>
    <w:next w:val="Normal"/>
    <w:link w:val="Heading3Char"/>
    <w:uiPriority w:val="9"/>
    <w:unhideWhenUsed/>
    <w:qFormat/>
    <w:rsid w:val="001E0841"/>
    <w:pPr>
      <w:outlineLvl w:val="2"/>
    </w:pPr>
    <w:rPr>
      <w:i/>
      <w:iCs/>
      <w:color w:val="002060"/>
      <w:sz w:val="20"/>
      <w:szCs w:val="20"/>
    </w:rPr>
  </w:style>
  <w:style w:type="paragraph" w:styleId="Heading4">
    <w:name w:val="heading 4"/>
    <w:basedOn w:val="Normal"/>
    <w:next w:val="Normal"/>
    <w:link w:val="Heading4Char"/>
    <w:uiPriority w:val="9"/>
    <w:unhideWhenUsed/>
    <w:qFormat/>
    <w:rsid w:val="001E0841"/>
    <w:pPr>
      <w:outlineLvl w:val="3"/>
    </w:pPr>
    <w:rPr>
      <w:b/>
      <w:bCs/>
      <w:u w:val="single"/>
    </w:rPr>
  </w:style>
  <w:style w:type="paragraph" w:styleId="Heading5">
    <w:name w:val="heading 5"/>
    <w:basedOn w:val="Normal"/>
    <w:next w:val="Normal"/>
    <w:link w:val="Heading5Char"/>
    <w:uiPriority w:val="9"/>
    <w:semiHidden/>
    <w:unhideWhenUsed/>
    <w:qFormat/>
    <w:rsid w:val="004F0B0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F0B0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F0B0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F0B0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F0B0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NDEX">
    <w:name w:val="INDEX"/>
    <w:uiPriority w:val="99"/>
    <w:rsid w:val="00050061"/>
  </w:style>
  <w:style w:type="character" w:customStyle="1" w:styleId="Heading1Char">
    <w:name w:val="Heading 1 Char"/>
    <w:basedOn w:val="DefaultParagraphFont"/>
    <w:link w:val="Heading1"/>
    <w:uiPriority w:val="9"/>
    <w:rsid w:val="001E0841"/>
    <w:rPr>
      <w:spacing w:val="1"/>
      <w:kern w:val="0"/>
      <w:sz w:val="30"/>
      <w:szCs w:val="30"/>
      <w:fitText w:val="2262" w:id="-1041511934"/>
    </w:rPr>
  </w:style>
  <w:style w:type="character" w:customStyle="1" w:styleId="Heading2Char">
    <w:name w:val="Heading 2 Char"/>
    <w:basedOn w:val="DefaultParagraphFont"/>
    <w:link w:val="Heading2"/>
    <w:uiPriority w:val="9"/>
    <w:rsid w:val="001E0841"/>
    <w:rPr>
      <w:sz w:val="20"/>
      <w:szCs w:val="20"/>
      <w:u w:val="single"/>
    </w:rPr>
  </w:style>
  <w:style w:type="character" w:customStyle="1" w:styleId="Heading3Char">
    <w:name w:val="Heading 3 Char"/>
    <w:basedOn w:val="DefaultParagraphFont"/>
    <w:link w:val="Heading3"/>
    <w:uiPriority w:val="9"/>
    <w:rsid w:val="001E0841"/>
    <w:rPr>
      <w:i/>
      <w:iCs/>
      <w:color w:val="002060"/>
      <w:sz w:val="20"/>
      <w:szCs w:val="20"/>
    </w:rPr>
  </w:style>
  <w:style w:type="character" w:customStyle="1" w:styleId="Heading4Char">
    <w:name w:val="Heading 4 Char"/>
    <w:basedOn w:val="DefaultParagraphFont"/>
    <w:link w:val="Heading4"/>
    <w:uiPriority w:val="9"/>
    <w:rsid w:val="001E0841"/>
    <w:rPr>
      <w:b/>
      <w:bCs/>
      <w:sz w:val="16"/>
      <w:szCs w:val="16"/>
      <w:u w:val="single"/>
    </w:rPr>
  </w:style>
  <w:style w:type="paragraph" w:styleId="Title">
    <w:name w:val="Title"/>
    <w:basedOn w:val="Normal"/>
    <w:next w:val="Normal"/>
    <w:link w:val="TitleChar"/>
    <w:uiPriority w:val="10"/>
    <w:qFormat/>
    <w:rsid w:val="001E0841"/>
    <w:pPr>
      <w:contextualSpacing/>
      <w:jc w:val="center"/>
    </w:pPr>
    <w:rPr>
      <w:rFonts w:eastAsiaTheme="majorEastAsia" w:cs="Arial"/>
      <w:b/>
      <w:bCs/>
      <w:spacing w:val="-10"/>
      <w:kern w:val="28"/>
      <w:sz w:val="50"/>
    </w:rPr>
  </w:style>
  <w:style w:type="character" w:customStyle="1" w:styleId="TitleChar">
    <w:name w:val="Title Char"/>
    <w:basedOn w:val="DefaultParagraphFont"/>
    <w:link w:val="Title"/>
    <w:uiPriority w:val="10"/>
    <w:rsid w:val="001E0841"/>
    <w:rPr>
      <w:rFonts w:eastAsiaTheme="majorEastAsia" w:cs="Arial"/>
      <w:spacing w:val="-10"/>
      <w:kern w:val="28"/>
      <w:sz w:val="50"/>
      <w:szCs w:val="16"/>
    </w:rPr>
  </w:style>
  <w:style w:type="paragraph" w:styleId="TOC1">
    <w:name w:val="toc 1"/>
    <w:basedOn w:val="Normal"/>
    <w:next w:val="Normal"/>
    <w:autoRedefine/>
    <w:uiPriority w:val="39"/>
    <w:unhideWhenUsed/>
    <w:rsid w:val="001E0841"/>
    <w:pPr>
      <w:spacing w:after="100" w:line="360" w:lineRule="auto"/>
    </w:pPr>
    <w:rPr>
      <w:b/>
      <w:u w:val="single"/>
    </w:rPr>
  </w:style>
  <w:style w:type="paragraph" w:styleId="TOC2">
    <w:name w:val="toc 2"/>
    <w:basedOn w:val="Normal"/>
    <w:next w:val="Normal"/>
    <w:autoRedefine/>
    <w:uiPriority w:val="39"/>
    <w:unhideWhenUsed/>
    <w:rsid w:val="001E0841"/>
    <w:rPr>
      <w:b/>
    </w:rPr>
  </w:style>
  <w:style w:type="paragraph" w:styleId="TOC4">
    <w:name w:val="toc 4"/>
    <w:basedOn w:val="Normal"/>
    <w:next w:val="Normal"/>
    <w:autoRedefine/>
    <w:uiPriority w:val="39"/>
    <w:semiHidden/>
    <w:unhideWhenUsed/>
    <w:rsid w:val="001E0841"/>
    <w:pPr>
      <w:ind w:left="720"/>
    </w:pPr>
    <w:rPr>
      <w:b/>
      <w:i/>
      <w:color w:val="001CAC"/>
    </w:rPr>
  </w:style>
  <w:style w:type="paragraph" w:styleId="TOC3">
    <w:name w:val="toc 3"/>
    <w:basedOn w:val="Normal"/>
    <w:next w:val="Normal"/>
    <w:autoRedefine/>
    <w:uiPriority w:val="39"/>
    <w:unhideWhenUsed/>
    <w:rsid w:val="001E0841"/>
    <w:pPr>
      <w:ind w:left="720"/>
    </w:pPr>
    <w:rPr>
      <w:b/>
      <w:color w:val="001CAC"/>
    </w:rPr>
  </w:style>
  <w:style w:type="character" w:customStyle="1" w:styleId="Heading5Char">
    <w:name w:val="Heading 5 Char"/>
    <w:basedOn w:val="DefaultParagraphFont"/>
    <w:link w:val="Heading5"/>
    <w:uiPriority w:val="9"/>
    <w:semiHidden/>
    <w:rsid w:val="004F0B0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F0B0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0B0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0B0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0B04"/>
    <w:rPr>
      <w:rFonts w:asciiTheme="minorHAnsi" w:eastAsiaTheme="majorEastAsia" w:hAnsiTheme="minorHAnsi" w:cstheme="majorBidi"/>
      <w:color w:val="272727" w:themeColor="text1" w:themeTint="D8"/>
    </w:rPr>
  </w:style>
  <w:style w:type="paragraph" w:styleId="Subtitle">
    <w:name w:val="Subtitle"/>
    <w:basedOn w:val="Normal"/>
    <w:next w:val="Normal"/>
    <w:link w:val="SubtitleChar"/>
    <w:uiPriority w:val="11"/>
    <w:qFormat/>
    <w:rsid w:val="004F0B0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0B0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F0B0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0B04"/>
    <w:rPr>
      <w:i/>
      <w:iCs/>
      <w:color w:val="404040" w:themeColor="text1" w:themeTint="BF"/>
    </w:rPr>
  </w:style>
  <w:style w:type="paragraph" w:styleId="ListParagraph">
    <w:name w:val="List Paragraph"/>
    <w:basedOn w:val="Normal"/>
    <w:uiPriority w:val="34"/>
    <w:qFormat/>
    <w:rsid w:val="004F0B04"/>
    <w:pPr>
      <w:ind w:left="720"/>
      <w:contextualSpacing/>
    </w:pPr>
  </w:style>
  <w:style w:type="character" w:styleId="IntenseEmphasis">
    <w:name w:val="Intense Emphasis"/>
    <w:basedOn w:val="DefaultParagraphFont"/>
    <w:uiPriority w:val="21"/>
    <w:qFormat/>
    <w:rsid w:val="004F0B04"/>
    <w:rPr>
      <w:i/>
      <w:iCs/>
      <w:color w:val="0F4761" w:themeColor="accent1" w:themeShade="BF"/>
    </w:rPr>
  </w:style>
  <w:style w:type="paragraph" w:styleId="IntenseQuote">
    <w:name w:val="Intense Quote"/>
    <w:basedOn w:val="Normal"/>
    <w:next w:val="Normal"/>
    <w:link w:val="IntenseQuoteChar"/>
    <w:uiPriority w:val="30"/>
    <w:qFormat/>
    <w:rsid w:val="004F0B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0B04"/>
    <w:rPr>
      <w:i/>
      <w:iCs/>
      <w:color w:val="0F4761" w:themeColor="accent1" w:themeShade="BF"/>
    </w:rPr>
  </w:style>
  <w:style w:type="character" w:styleId="IntenseReference">
    <w:name w:val="Intense Reference"/>
    <w:basedOn w:val="DefaultParagraphFont"/>
    <w:uiPriority w:val="32"/>
    <w:qFormat/>
    <w:rsid w:val="004F0B04"/>
    <w:rPr>
      <w:b/>
      <w:bCs/>
      <w:smallCaps/>
      <w:color w:val="0F4761" w:themeColor="accent1" w:themeShade="BF"/>
      <w:spacing w:val="5"/>
    </w:rPr>
  </w:style>
  <w:style w:type="paragraph" w:styleId="NormalWeb">
    <w:name w:val="Normal (Web)"/>
    <w:basedOn w:val="Normal"/>
    <w:uiPriority w:val="99"/>
    <w:semiHidden/>
    <w:unhideWhenUsed/>
    <w:rsid w:val="004F0B04"/>
    <w:pPr>
      <w:spacing w:before="100" w:beforeAutospacing="1" w:after="100" w:afterAutospacing="1"/>
    </w:pPr>
    <w:rPr>
      <w:rFonts w:ascii="Times New Roman" w:eastAsia="Times New Roman" w:hAnsi="Times New Roman" w:cs="Times New Roman"/>
      <w:color w:val="auto"/>
      <w:kern w:val="0"/>
      <w:lang w:val="en-CA"/>
      <w14:ligatures w14:val="none"/>
    </w:rPr>
  </w:style>
  <w:style w:type="character" w:styleId="Strong">
    <w:name w:val="Strong"/>
    <w:basedOn w:val="DefaultParagraphFont"/>
    <w:uiPriority w:val="22"/>
    <w:qFormat/>
    <w:rsid w:val="004F0B04"/>
    <w:rPr>
      <w:b/>
      <w:bCs/>
    </w:rPr>
  </w:style>
  <w:style w:type="character" w:styleId="Emphasis">
    <w:name w:val="Emphasis"/>
    <w:basedOn w:val="DefaultParagraphFont"/>
    <w:uiPriority w:val="20"/>
    <w:qFormat/>
    <w:rsid w:val="004F0B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2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1363</Words>
  <Characters>7530</Characters>
  <Application>Microsoft Office Word</Application>
  <DocSecurity>0</DocSecurity>
  <Lines>114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Kyungwon Ha</dc:creator>
  <cp:keywords/>
  <dc:description/>
  <cp:lastModifiedBy>Kyungwon Ha</cp:lastModifiedBy>
  <cp:revision>1</cp:revision>
  <dcterms:created xsi:type="dcterms:W3CDTF">2025-02-07T17:52:00Z</dcterms:created>
  <dcterms:modified xsi:type="dcterms:W3CDTF">2025-02-07T17:53:00Z</dcterms:modified>
  <cp:category/>
</cp:coreProperties>
</file>