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CA0A6" w14:textId="5714935A" w:rsidR="00783684" w:rsidRPr="009E6C6D" w:rsidRDefault="00E008E9" w:rsidP="00E008E9">
      <w:pPr>
        <w:jc w:val="center"/>
        <w:rPr>
          <w:rFonts w:ascii="Cambria" w:hAnsi="Cambria"/>
          <w:b/>
          <w:color w:val="000000" w:themeColor="text1"/>
          <w:sz w:val="28"/>
          <w:szCs w:val="28"/>
          <w:lang w:val="en-CA"/>
        </w:rPr>
      </w:pPr>
      <w:r w:rsidRPr="009E6C6D">
        <w:rPr>
          <w:rFonts w:ascii="Cambria" w:hAnsi="Cambria"/>
          <w:b/>
          <w:color w:val="000000" w:themeColor="text1"/>
          <w:sz w:val="28"/>
          <w:szCs w:val="28"/>
          <w:lang w:val="en-CA"/>
        </w:rPr>
        <w:t>CBCA v</w:t>
      </w:r>
      <w:r w:rsidR="00016F55">
        <w:rPr>
          <w:rFonts w:ascii="Cambria" w:hAnsi="Cambria"/>
          <w:b/>
          <w:color w:val="000000" w:themeColor="text1"/>
          <w:sz w:val="28"/>
          <w:szCs w:val="28"/>
          <w:lang w:val="en-CA"/>
        </w:rPr>
        <w:t>s</w:t>
      </w:r>
      <w:r w:rsidRPr="009E6C6D">
        <w:rPr>
          <w:rFonts w:ascii="Cambria" w:hAnsi="Cambria"/>
          <w:b/>
          <w:color w:val="000000" w:themeColor="text1"/>
          <w:sz w:val="28"/>
          <w:szCs w:val="28"/>
          <w:lang w:val="en-CA"/>
        </w:rPr>
        <w:t xml:space="preserve"> OBCA</w:t>
      </w:r>
    </w:p>
    <w:p w14:paraId="312C0E85" w14:textId="77777777" w:rsidR="00E008E9" w:rsidRDefault="00E008E9" w:rsidP="00E008E9">
      <w:pPr>
        <w:jc w:val="center"/>
        <w:rPr>
          <w:rFonts w:ascii="Cambria" w:hAnsi="Cambria"/>
          <w:b/>
          <w:sz w:val="28"/>
          <w:szCs w:val="28"/>
          <w:lang w:val="en-CA"/>
        </w:rPr>
      </w:pPr>
    </w:p>
    <w:tbl>
      <w:tblPr>
        <w:tblStyle w:val="TableGrid"/>
        <w:tblW w:w="13893" w:type="dxa"/>
        <w:tblInd w:w="-431" w:type="dxa"/>
        <w:tblLook w:val="04A0" w:firstRow="1" w:lastRow="0" w:firstColumn="1" w:lastColumn="0" w:noHBand="0" w:noVBand="1"/>
      </w:tblPr>
      <w:tblGrid>
        <w:gridCol w:w="2694"/>
        <w:gridCol w:w="5529"/>
        <w:gridCol w:w="5670"/>
      </w:tblGrid>
      <w:tr w:rsidR="00FA1BE4" w14:paraId="0A66C6F1" w14:textId="77777777" w:rsidTr="001F4919">
        <w:trPr>
          <w:trHeight w:val="377"/>
        </w:trPr>
        <w:tc>
          <w:tcPr>
            <w:tcW w:w="2694" w:type="dxa"/>
          </w:tcPr>
          <w:p w14:paraId="11C94B4E" w14:textId="73A96A7F" w:rsidR="00FA1BE4" w:rsidRPr="009E6C6D" w:rsidRDefault="000E11A4" w:rsidP="00E008E9">
            <w:pPr>
              <w:jc w:val="center"/>
              <w:rPr>
                <w:rFonts w:ascii="Cambria" w:hAnsi="Cambria"/>
                <w:b/>
                <w:lang w:val="en-CA"/>
              </w:rPr>
            </w:pPr>
            <w:r w:rsidRPr="009E6C6D">
              <w:rPr>
                <w:rFonts w:ascii="Cambria" w:hAnsi="Cambria"/>
                <w:b/>
                <w:lang w:val="en-CA"/>
              </w:rPr>
              <w:t>Topic</w:t>
            </w:r>
          </w:p>
        </w:tc>
        <w:tc>
          <w:tcPr>
            <w:tcW w:w="5529" w:type="dxa"/>
          </w:tcPr>
          <w:p w14:paraId="119862EB" w14:textId="08F6E852" w:rsidR="00FA1BE4" w:rsidRDefault="00FA1BE4" w:rsidP="00E008E9">
            <w:pPr>
              <w:jc w:val="center"/>
              <w:rPr>
                <w:rFonts w:ascii="Cambria" w:hAnsi="Cambria"/>
                <w:b/>
                <w:lang w:val="en-CA"/>
              </w:rPr>
            </w:pPr>
            <w:r w:rsidRPr="009E6C6D">
              <w:rPr>
                <w:rFonts w:ascii="Cambria" w:hAnsi="Cambria"/>
                <w:b/>
                <w:color w:val="00B050"/>
                <w:lang w:val="en-CA"/>
              </w:rPr>
              <w:t>CBCA</w:t>
            </w:r>
          </w:p>
        </w:tc>
        <w:tc>
          <w:tcPr>
            <w:tcW w:w="5670" w:type="dxa"/>
          </w:tcPr>
          <w:p w14:paraId="1E179974" w14:textId="6016D2EA" w:rsidR="00FA1BE4" w:rsidRDefault="00FA1BE4" w:rsidP="00E008E9">
            <w:pPr>
              <w:jc w:val="center"/>
              <w:rPr>
                <w:rFonts w:ascii="Cambria" w:hAnsi="Cambria"/>
                <w:b/>
                <w:lang w:val="en-CA"/>
              </w:rPr>
            </w:pPr>
            <w:r w:rsidRPr="009E6C6D">
              <w:rPr>
                <w:rFonts w:ascii="Cambria" w:hAnsi="Cambria"/>
                <w:b/>
                <w:color w:val="ED7D31" w:themeColor="accent2"/>
                <w:lang w:val="en-CA"/>
              </w:rPr>
              <w:t>OBCA</w:t>
            </w:r>
          </w:p>
        </w:tc>
      </w:tr>
      <w:tr w:rsidR="00A00596" w14:paraId="33D308D1" w14:textId="77777777" w:rsidTr="001F4919">
        <w:trPr>
          <w:trHeight w:val="345"/>
        </w:trPr>
        <w:tc>
          <w:tcPr>
            <w:tcW w:w="2694" w:type="dxa"/>
          </w:tcPr>
          <w:p w14:paraId="65B4CAEC" w14:textId="7FFC0C13" w:rsidR="00A00596" w:rsidRDefault="00A00596" w:rsidP="00DB34B0">
            <w:pPr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t>COST TO INCORPORATE</w:t>
            </w:r>
          </w:p>
        </w:tc>
        <w:tc>
          <w:tcPr>
            <w:tcW w:w="5529" w:type="dxa"/>
          </w:tcPr>
          <w:p w14:paraId="63D9AB08" w14:textId="31769A49" w:rsidR="00A00596" w:rsidRDefault="00A00596" w:rsidP="00DB34B0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color w:val="000000" w:themeColor="text1"/>
                <w:lang w:val="en-CA"/>
              </w:rPr>
              <w:t>Online: $200; otherwise: $250</w:t>
            </w:r>
          </w:p>
        </w:tc>
        <w:tc>
          <w:tcPr>
            <w:tcW w:w="5670" w:type="dxa"/>
          </w:tcPr>
          <w:p w14:paraId="30832FF1" w14:textId="55DF6D62" w:rsidR="00A00596" w:rsidRDefault="00A00596" w:rsidP="00DB34B0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color w:val="000000" w:themeColor="text1"/>
                <w:lang w:val="en-CA"/>
              </w:rPr>
              <w:t>Online: $300; otherwise: $360</w:t>
            </w:r>
          </w:p>
        </w:tc>
      </w:tr>
      <w:tr w:rsidR="00DB34B0" w14:paraId="3F16542C" w14:textId="77777777" w:rsidTr="001F4919">
        <w:trPr>
          <w:trHeight w:val="345"/>
        </w:trPr>
        <w:tc>
          <w:tcPr>
            <w:tcW w:w="2694" w:type="dxa"/>
          </w:tcPr>
          <w:p w14:paraId="491EC03F" w14:textId="02CDD89E" w:rsidR="00DB34B0" w:rsidRPr="00FB628D" w:rsidRDefault="000313E6" w:rsidP="00DB34B0">
            <w:pPr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t>PUBLIC VS PRIVATE COMPANIES</w:t>
            </w:r>
          </w:p>
        </w:tc>
        <w:tc>
          <w:tcPr>
            <w:tcW w:w="5529" w:type="dxa"/>
          </w:tcPr>
          <w:p w14:paraId="3BC21A50" w14:textId="4BB745B5" w:rsidR="00DB34B0" w:rsidRPr="0052396E" w:rsidRDefault="00DB34B0" w:rsidP="00DB34B0">
            <w:pPr>
              <w:rPr>
                <w:rFonts w:ascii="Cambria" w:hAnsi="Cambria"/>
                <w:b/>
                <w:color w:val="00B050"/>
                <w:lang w:val="en-CA"/>
              </w:rPr>
            </w:pPr>
            <w:r>
              <w:rPr>
                <w:rFonts w:ascii="Cambria" w:hAnsi="Cambria"/>
                <w:color w:val="000000" w:themeColor="text1"/>
                <w:lang w:val="en-CA"/>
              </w:rPr>
              <w:t xml:space="preserve">* Refers to public companies as </w:t>
            </w:r>
            <w:r>
              <w:rPr>
                <w:rFonts w:ascii="Cambria" w:hAnsi="Cambria"/>
                <w:color w:val="000000" w:themeColor="text1"/>
                <w:u w:val="single"/>
                <w:lang w:val="en-CA"/>
              </w:rPr>
              <w:t>distributing corporations</w:t>
            </w:r>
          </w:p>
        </w:tc>
        <w:tc>
          <w:tcPr>
            <w:tcW w:w="5670" w:type="dxa"/>
          </w:tcPr>
          <w:p w14:paraId="20783858" w14:textId="50FA1F7F" w:rsidR="00DB34B0" w:rsidRPr="0052396E" w:rsidRDefault="00DB34B0" w:rsidP="00DB34B0">
            <w:pPr>
              <w:rPr>
                <w:rFonts w:ascii="Cambria" w:hAnsi="Cambria"/>
                <w:b/>
                <w:color w:val="ED7D31" w:themeColor="accent2"/>
                <w:lang w:val="en-CA"/>
              </w:rPr>
            </w:pPr>
            <w:r>
              <w:rPr>
                <w:rFonts w:ascii="Cambria" w:hAnsi="Cambria"/>
                <w:color w:val="000000" w:themeColor="text1"/>
                <w:lang w:val="en-CA"/>
              </w:rPr>
              <w:t xml:space="preserve">* Refers to public companies as </w:t>
            </w:r>
            <w:r>
              <w:rPr>
                <w:rFonts w:ascii="Cambria" w:hAnsi="Cambria"/>
                <w:color w:val="000000" w:themeColor="text1"/>
                <w:u w:val="single"/>
                <w:lang w:val="en-CA"/>
              </w:rPr>
              <w:t>offering corporations</w:t>
            </w:r>
          </w:p>
        </w:tc>
      </w:tr>
      <w:tr w:rsidR="00EA5E7C" w14:paraId="3068E682" w14:textId="77777777" w:rsidTr="001F4919">
        <w:trPr>
          <w:trHeight w:val="345"/>
        </w:trPr>
        <w:tc>
          <w:tcPr>
            <w:tcW w:w="2694" w:type="dxa"/>
          </w:tcPr>
          <w:p w14:paraId="699C4ED6" w14:textId="19D12C1B" w:rsidR="00EA5E7C" w:rsidRPr="00FB628D" w:rsidRDefault="00EA5E7C" w:rsidP="00EA5E7C">
            <w:pPr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t xml:space="preserve">Classes of Shares </w:t>
            </w:r>
          </w:p>
        </w:tc>
        <w:tc>
          <w:tcPr>
            <w:tcW w:w="5529" w:type="dxa"/>
          </w:tcPr>
          <w:p w14:paraId="0895C87A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 xml:space="preserve">s. 6(1)(c)(ii) </w:t>
            </w:r>
            <w:r>
              <w:rPr>
                <w:rFonts w:ascii="Cambria" w:hAnsi="Cambria"/>
                <w:color w:val="000000" w:themeColor="text1"/>
                <w:lang w:val="en-CA"/>
              </w:rPr>
              <w:t>– Articles of incorporation can specify if there will be 2 or more classes of shares and the rights, privileges, restrictions, and conditions attaching to each class of shares</w:t>
            </w:r>
          </w:p>
          <w:p w14:paraId="75389A6D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2C896626" w14:textId="17894AF3" w:rsidR="00EA5E7C" w:rsidRPr="0052396E" w:rsidRDefault="00EA5E7C" w:rsidP="00EA5E7C">
            <w:pPr>
              <w:rPr>
                <w:rFonts w:ascii="Cambria" w:hAnsi="Cambria"/>
                <w:b/>
                <w:color w:val="00B050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>s. 24(3)</w:t>
            </w:r>
            <w:r>
              <w:rPr>
                <w:rFonts w:ascii="Cambria" w:hAnsi="Cambria"/>
                <w:color w:val="00B050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At least one class of shares must be voting, entitled to receive dividends, and to receive the assets remaining on dissolution (if only one class of shares, it must have those </w:t>
            </w:r>
            <w:r w:rsidRPr="001170BB">
              <w:rPr>
                <w:rFonts w:ascii="Cambria" w:hAnsi="Cambria"/>
                <w:color w:val="000000" w:themeColor="text1"/>
                <w:u w:val="single"/>
                <w:lang w:val="en-CA"/>
              </w:rPr>
              <w:t>3 rights</w:t>
            </w:r>
            <w:r>
              <w:rPr>
                <w:rFonts w:ascii="Cambria" w:hAnsi="Cambria"/>
                <w:color w:val="000000" w:themeColor="text1"/>
                <w:lang w:val="en-CA"/>
              </w:rPr>
              <w:t>)</w:t>
            </w:r>
          </w:p>
        </w:tc>
        <w:tc>
          <w:tcPr>
            <w:tcW w:w="5670" w:type="dxa"/>
          </w:tcPr>
          <w:p w14:paraId="090D0FCB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 xml:space="preserve">s. 22(7)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Articles of incorporation can specify if two or more classes of shares or two or more series within a class of shares will have the same rights, privileges, restrictions, and conditions </w:t>
            </w:r>
          </w:p>
          <w:p w14:paraId="5523851C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2E2083B1" w14:textId="4EB65D03" w:rsidR="00EA5E7C" w:rsidRPr="0052396E" w:rsidRDefault="00EA5E7C" w:rsidP="00EA5E7C">
            <w:pPr>
              <w:rPr>
                <w:rFonts w:ascii="Cambria" w:hAnsi="Cambria"/>
                <w:b/>
                <w:color w:val="ED7D31" w:themeColor="accent2"/>
                <w:lang w:val="en-CA"/>
              </w:rPr>
            </w:pPr>
            <w:r w:rsidRPr="00B519B3">
              <w:rPr>
                <w:rFonts w:ascii="Cambria" w:hAnsi="Cambria"/>
                <w:b/>
                <w:color w:val="ED7D31" w:themeColor="accent2"/>
                <w:lang w:val="en-CA"/>
              </w:rPr>
              <w:t>s. 22(3)</w:t>
            </w:r>
            <w:r>
              <w:rPr>
                <w:rFonts w:ascii="Cambria" w:hAnsi="Cambria"/>
                <w:color w:val="ED7D31" w:themeColor="accent2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At least one class of shares must be voting and entitled to receive the remaining property of the corporation upon dissolution (if only one class of shares, it must have those </w:t>
            </w:r>
            <w:r w:rsidRPr="001170BB">
              <w:rPr>
                <w:rFonts w:ascii="Cambria" w:hAnsi="Cambria"/>
                <w:color w:val="000000" w:themeColor="text1"/>
                <w:u w:val="single"/>
                <w:lang w:val="en-CA"/>
              </w:rPr>
              <w:t>2 rights</w:t>
            </w:r>
            <w:r>
              <w:rPr>
                <w:rFonts w:ascii="Cambria" w:hAnsi="Cambria"/>
                <w:color w:val="000000" w:themeColor="text1"/>
                <w:lang w:val="en-CA"/>
              </w:rPr>
              <w:t>)</w:t>
            </w:r>
          </w:p>
        </w:tc>
      </w:tr>
      <w:tr w:rsidR="00EA5E7C" w14:paraId="2074DE8B" w14:textId="77777777" w:rsidTr="001F4919">
        <w:trPr>
          <w:trHeight w:val="345"/>
        </w:trPr>
        <w:tc>
          <w:tcPr>
            <w:tcW w:w="2694" w:type="dxa"/>
          </w:tcPr>
          <w:p w14:paraId="1C8C509B" w14:textId="1A4CFE80" w:rsidR="00EA5E7C" w:rsidRPr="00FB628D" w:rsidRDefault="00EA5E7C" w:rsidP="00EA5E7C">
            <w:pPr>
              <w:rPr>
                <w:rFonts w:ascii="Cambria" w:hAnsi="Cambria"/>
                <w:b/>
                <w:lang w:val="en-CA"/>
              </w:rPr>
            </w:pPr>
            <w:r w:rsidRPr="00FB628D">
              <w:rPr>
                <w:rFonts w:ascii="Cambria" w:hAnsi="Cambria"/>
                <w:b/>
                <w:lang w:val="en-CA"/>
              </w:rPr>
              <w:t>Pre-Incorporated Contracts</w:t>
            </w:r>
          </w:p>
        </w:tc>
        <w:tc>
          <w:tcPr>
            <w:tcW w:w="5529" w:type="dxa"/>
          </w:tcPr>
          <w:p w14:paraId="4DFD0A39" w14:textId="16CC3D2F" w:rsidR="00EA5E7C" w:rsidRPr="0052396E" w:rsidRDefault="00EA5E7C" w:rsidP="00EA5E7C">
            <w:pPr>
              <w:rPr>
                <w:rFonts w:ascii="Cambria" w:hAnsi="Cambria"/>
                <w:b/>
                <w:color w:val="00B050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>s. 14(1)</w:t>
            </w:r>
            <w:r>
              <w:rPr>
                <w:rFonts w:ascii="Cambria" w:hAnsi="Cambria"/>
                <w:color w:val="00B050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>– Corporations may adopt written contracts only that were made pre-incorporation</w:t>
            </w:r>
          </w:p>
        </w:tc>
        <w:tc>
          <w:tcPr>
            <w:tcW w:w="5670" w:type="dxa"/>
          </w:tcPr>
          <w:p w14:paraId="3453EEE5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>s. 21(1)</w:t>
            </w:r>
            <w:r>
              <w:rPr>
                <w:rFonts w:ascii="Cambria" w:hAnsi="Cambria"/>
                <w:color w:val="ED7D31" w:themeColor="accent2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Corporations may adopt written </w:t>
            </w:r>
            <w:r w:rsidRPr="00C86051">
              <w:rPr>
                <w:rFonts w:ascii="Cambria" w:hAnsi="Cambria"/>
                <w:b/>
                <w:color w:val="000000" w:themeColor="text1"/>
                <w:u w:val="single"/>
                <w:lang w:val="en-CA"/>
              </w:rPr>
              <w:t>or oral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contracts that were made pre-incorporation</w:t>
            </w:r>
          </w:p>
          <w:p w14:paraId="7F7E0438" w14:textId="13009139" w:rsidR="00EA5E7C" w:rsidRPr="0052396E" w:rsidRDefault="00EA5E7C" w:rsidP="00EA5E7C">
            <w:pPr>
              <w:rPr>
                <w:rFonts w:ascii="Cambria" w:hAnsi="Cambria"/>
                <w:b/>
                <w:color w:val="ED7D31" w:themeColor="accent2"/>
                <w:lang w:val="en-CA"/>
              </w:rPr>
            </w:pPr>
            <w:r w:rsidRPr="004F5BF2">
              <w:rPr>
                <w:rFonts w:ascii="Cambria Math" w:hAnsi="Cambria Math"/>
                <w:color w:val="000000" w:themeColor="text1"/>
              </w:rPr>
              <w:t xml:space="preserve">Even if there is evidence that the subjective intention of the parties was never to hold individuals liable (like in </w:t>
            </w:r>
            <w:r w:rsidRPr="004F5BF2">
              <w:rPr>
                <w:rFonts w:ascii="Cambria Math" w:hAnsi="Cambria Math"/>
                <w:i/>
                <w:color w:val="FF0000"/>
              </w:rPr>
              <w:t>Black v Smallwood</w:t>
            </w:r>
            <w:r w:rsidRPr="004F5BF2">
              <w:rPr>
                <w:rFonts w:ascii="Cambria Math" w:hAnsi="Cambria Math"/>
                <w:color w:val="000000" w:themeColor="text1"/>
              </w:rPr>
              <w:t xml:space="preserve">) </w:t>
            </w:r>
            <w:r w:rsidRPr="004F5BF2">
              <w:rPr>
                <w:rFonts w:ascii="Cambria Math" w:hAnsi="Cambria Math"/>
                <w:b/>
                <w:color w:val="ED7D31" w:themeColor="accent2"/>
              </w:rPr>
              <w:t>s. 21</w:t>
            </w:r>
            <w:r w:rsidRPr="004F5BF2">
              <w:rPr>
                <w:rFonts w:ascii="Cambria Math" w:hAnsi="Cambria Math"/>
                <w:color w:val="ED7D31" w:themeColor="accent2"/>
              </w:rPr>
              <w:t xml:space="preserve"> </w:t>
            </w:r>
            <w:r w:rsidRPr="004F5BF2">
              <w:rPr>
                <w:rFonts w:ascii="Cambria Math" w:hAnsi="Cambria Math"/>
                <w:color w:val="000000" w:themeColor="text1"/>
              </w:rPr>
              <w:t>now holds people personally liable</w:t>
            </w:r>
          </w:p>
        </w:tc>
      </w:tr>
      <w:tr w:rsidR="00EA5E7C" w14:paraId="427F5248" w14:textId="77777777" w:rsidTr="001F4919">
        <w:trPr>
          <w:trHeight w:val="345"/>
        </w:trPr>
        <w:tc>
          <w:tcPr>
            <w:tcW w:w="2694" w:type="dxa"/>
          </w:tcPr>
          <w:p w14:paraId="5B7F7542" w14:textId="2AFC06A3" w:rsidR="00EA5E7C" w:rsidRPr="00FB628D" w:rsidRDefault="00EA5E7C" w:rsidP="00EA5E7C">
            <w:pPr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t>Independent Directors</w:t>
            </w:r>
          </w:p>
        </w:tc>
        <w:tc>
          <w:tcPr>
            <w:tcW w:w="5529" w:type="dxa"/>
          </w:tcPr>
          <w:p w14:paraId="43C25A04" w14:textId="2197767B" w:rsidR="00EA5E7C" w:rsidRPr="0052396E" w:rsidRDefault="00EA5E7C" w:rsidP="00EA5E7C">
            <w:pPr>
              <w:rPr>
                <w:rFonts w:ascii="Cambria" w:hAnsi="Cambria"/>
                <w:b/>
                <w:color w:val="00B050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>s. 102(2)</w:t>
            </w:r>
            <w:r>
              <w:rPr>
                <w:rFonts w:ascii="Cambria" w:hAnsi="Cambria"/>
                <w:color w:val="00B050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Public corporations must have at least 3 directors and at least 2 of them must NOT be officers or employees of the corporation or its affiliates </w:t>
            </w:r>
          </w:p>
        </w:tc>
        <w:tc>
          <w:tcPr>
            <w:tcW w:w="5670" w:type="dxa"/>
          </w:tcPr>
          <w:p w14:paraId="4AA9094D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>s. 115(2)(b)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– a public corporation must have at least 3 directors</w:t>
            </w:r>
          </w:p>
          <w:p w14:paraId="12041AA8" w14:textId="51D6A6CA" w:rsidR="00EA5E7C" w:rsidRPr="0052396E" w:rsidRDefault="00EA5E7C" w:rsidP="00EA5E7C">
            <w:pPr>
              <w:rPr>
                <w:rFonts w:ascii="Cambria" w:hAnsi="Cambria"/>
                <w:b/>
                <w:color w:val="ED7D31" w:themeColor="accent2"/>
                <w:lang w:val="en-CA"/>
              </w:rPr>
            </w:pPr>
            <w:r w:rsidRPr="00320837">
              <w:rPr>
                <w:rFonts w:ascii="Cambria" w:hAnsi="Cambria"/>
                <w:b/>
                <w:color w:val="ED7D31" w:themeColor="accent2"/>
                <w:lang w:val="en-CA"/>
              </w:rPr>
              <w:t>s. 115(3)</w:t>
            </w:r>
            <w:r w:rsidRPr="00320837">
              <w:rPr>
                <w:rFonts w:ascii="Cambria" w:hAnsi="Cambria"/>
                <w:color w:val="ED7D31" w:themeColor="accent2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</w:t>
            </w:r>
            <w:bookmarkStart w:id="0" w:name="_GoBack"/>
            <w:r>
              <w:rPr>
                <w:rFonts w:ascii="Cambria" w:hAnsi="Cambria"/>
                <w:color w:val="000000" w:themeColor="text1"/>
                <w:lang w:val="en-CA"/>
              </w:rPr>
              <w:t>at least 1/3rd of public corporation directors must NOT be officers or employees of the corporation or its affiliates</w:t>
            </w:r>
            <w:bookmarkEnd w:id="0"/>
          </w:p>
        </w:tc>
      </w:tr>
      <w:tr w:rsidR="00EA5E7C" w14:paraId="72B23F9B" w14:textId="77777777" w:rsidTr="001F4919">
        <w:trPr>
          <w:trHeight w:val="345"/>
        </w:trPr>
        <w:tc>
          <w:tcPr>
            <w:tcW w:w="2694" w:type="dxa"/>
          </w:tcPr>
          <w:p w14:paraId="153B01DD" w14:textId="4F453025" w:rsidR="00EA5E7C" w:rsidRPr="00FB628D" w:rsidRDefault="00EA5E7C" w:rsidP="00EA5E7C">
            <w:pPr>
              <w:rPr>
                <w:rFonts w:ascii="Cambria" w:hAnsi="Cambria"/>
                <w:b/>
                <w:lang w:val="en-CA"/>
              </w:rPr>
            </w:pPr>
            <w:r w:rsidRPr="00FB628D">
              <w:rPr>
                <w:rFonts w:ascii="Cambria" w:hAnsi="Cambria"/>
                <w:b/>
                <w:lang w:val="en-CA"/>
              </w:rPr>
              <w:t>Canadian Residency Requirement for Directors</w:t>
            </w:r>
          </w:p>
        </w:tc>
        <w:tc>
          <w:tcPr>
            <w:tcW w:w="5529" w:type="dxa"/>
          </w:tcPr>
          <w:p w14:paraId="2C54E3D1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 xml:space="preserve">s. 105(3) </w:t>
            </w:r>
            <w:r>
              <w:rPr>
                <w:rFonts w:ascii="Cambria" w:hAnsi="Cambria"/>
                <w:b/>
                <w:color w:val="000000" w:themeColor="text1"/>
                <w:lang w:val="en-CA"/>
              </w:rPr>
              <w:t xml:space="preserve">– </w:t>
            </w:r>
            <w:r>
              <w:rPr>
                <w:rFonts w:ascii="Cambria" w:hAnsi="Cambria"/>
                <w:color w:val="000000" w:themeColor="text1"/>
                <w:lang w:val="en-CA"/>
              </w:rPr>
              <w:t>at least 25% of directors of a corporation must be resident Canadians. If less than 4 directors, at least 1 director must be a resident.</w:t>
            </w:r>
          </w:p>
          <w:p w14:paraId="4FB4A3BD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0255B879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lastRenderedPageBreak/>
              <w:t>s. 105(3.1)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– If Parliament requires corporations operating in a specific sector to maintain a specific level of Canadian ownership or control/restrict number of voting shares of shareholders, then a </w:t>
            </w:r>
            <w:r>
              <w:rPr>
                <w:rFonts w:ascii="Cambria" w:hAnsi="Cambria"/>
                <w:b/>
                <w:color w:val="000000" w:themeColor="text1"/>
                <w:lang w:val="en-CA"/>
              </w:rPr>
              <w:t>majority of the directors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must be resident Canadians</w:t>
            </w:r>
          </w:p>
          <w:p w14:paraId="13C3368E" w14:textId="16AD5B42" w:rsidR="00C86051" w:rsidRPr="00C86051" w:rsidRDefault="00C86051" w:rsidP="00EA5E7C">
            <w:p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 xml:space="preserve">S. 2(1) </w:t>
            </w:r>
            <w:r>
              <w:rPr>
                <w:rFonts w:ascii="Cambria" w:hAnsi="Cambria"/>
                <w:lang w:val="en-CA"/>
              </w:rPr>
              <w:t xml:space="preserve">Canadian resident defined as ordinary Canadian citizen or </w:t>
            </w:r>
            <w:r w:rsidRPr="00C86051">
              <w:rPr>
                <w:rFonts w:ascii="Cambria" w:hAnsi="Cambria"/>
                <w:lang w:val="en-CA"/>
              </w:rPr>
              <w:t>permanent resident who has been ordinarily resident in Canada for more than one year after the time at which he or she first became eligible to apply for Canadian citizenship</w:t>
            </w:r>
          </w:p>
        </w:tc>
        <w:tc>
          <w:tcPr>
            <w:tcW w:w="5670" w:type="dxa"/>
          </w:tcPr>
          <w:p w14:paraId="24A26D58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lastRenderedPageBreak/>
              <w:t xml:space="preserve">s. 118(3) </w:t>
            </w:r>
            <w:r>
              <w:rPr>
                <w:rFonts w:ascii="Cambria" w:hAnsi="Cambria"/>
                <w:color w:val="000000" w:themeColor="text1"/>
                <w:lang w:val="en-CA"/>
              </w:rPr>
              <w:t>– at least 25% of directors of a corporation must be resident Canadians, unless the corporation is not resident to Ontario. If there are less than 4 directors of a corporation (resident in Ontario or not), at least 1 director must be a resident.</w:t>
            </w:r>
          </w:p>
          <w:p w14:paraId="4310B310" w14:textId="06499C11" w:rsidR="00EA5E7C" w:rsidRPr="0052396E" w:rsidRDefault="00EA5E7C" w:rsidP="00EA5E7C">
            <w:pPr>
              <w:rPr>
                <w:rFonts w:ascii="Cambria" w:hAnsi="Cambria"/>
                <w:b/>
                <w:color w:val="ED7D31" w:themeColor="accent2"/>
                <w:lang w:val="en-CA"/>
              </w:rPr>
            </w:pPr>
            <w:r>
              <w:rPr>
                <w:rFonts w:ascii="Cambria" w:hAnsi="Cambria"/>
                <w:i/>
                <w:color w:val="000000" w:themeColor="text1"/>
                <w:lang w:val="en-CA"/>
              </w:rPr>
              <w:lastRenderedPageBreak/>
              <w:t xml:space="preserve">International </w:t>
            </w:r>
            <w:proofErr w:type="spellStart"/>
            <w:r>
              <w:rPr>
                <w:rFonts w:ascii="Cambria" w:hAnsi="Cambria"/>
                <w:i/>
                <w:color w:val="000000" w:themeColor="text1"/>
                <w:lang w:val="en-CA"/>
              </w:rPr>
              <w:t>Baslen</w:t>
            </w:r>
            <w:proofErr w:type="spellEnd"/>
            <w:r>
              <w:rPr>
                <w:rFonts w:ascii="Cambria" w:hAnsi="Cambria"/>
                <w:i/>
                <w:color w:val="000000" w:themeColor="text1"/>
                <w:lang w:val="en-CA"/>
              </w:rPr>
              <w:t xml:space="preserve"> Enterprises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</w:t>
            </w:r>
            <w:r w:rsidRPr="00F47732">
              <w:rPr>
                <w:rFonts w:ascii="Cambria" w:hAnsi="Cambria"/>
                <w:color w:val="000000" w:themeColor="text1"/>
                <w:lang w:val="en-CA"/>
              </w:rPr>
              <w:sym w:font="Wingdings" w:char="F0E0"/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if only 1 director and he/she is not resident Canadian, must restore residency quorum before business is conducted</w:t>
            </w:r>
          </w:p>
        </w:tc>
      </w:tr>
      <w:tr w:rsidR="00EA5E7C" w14:paraId="4C9DC2E0" w14:textId="77777777" w:rsidTr="001F4919">
        <w:trPr>
          <w:trHeight w:val="345"/>
        </w:trPr>
        <w:tc>
          <w:tcPr>
            <w:tcW w:w="2694" w:type="dxa"/>
          </w:tcPr>
          <w:p w14:paraId="147E8FE0" w14:textId="62C3504B" w:rsidR="00EA5E7C" w:rsidRPr="00FB628D" w:rsidRDefault="00EA5E7C" w:rsidP="00EA5E7C">
            <w:pPr>
              <w:rPr>
                <w:rFonts w:ascii="Cambria" w:hAnsi="Cambria"/>
                <w:b/>
                <w:lang w:val="en-CA"/>
              </w:rPr>
            </w:pPr>
            <w:r w:rsidRPr="00FB628D">
              <w:rPr>
                <w:rFonts w:ascii="Cambria" w:hAnsi="Cambria"/>
                <w:b/>
                <w:lang w:val="en-CA"/>
              </w:rPr>
              <w:lastRenderedPageBreak/>
              <w:t>Limitation Period for Director Liability for Unpaid Wages</w:t>
            </w:r>
          </w:p>
        </w:tc>
        <w:tc>
          <w:tcPr>
            <w:tcW w:w="5529" w:type="dxa"/>
          </w:tcPr>
          <w:p w14:paraId="56624869" w14:textId="79EC35D8" w:rsidR="00EA5E7C" w:rsidRPr="0052396E" w:rsidRDefault="00EA5E7C" w:rsidP="00EA5E7C">
            <w:pPr>
              <w:rPr>
                <w:rFonts w:ascii="Cambria" w:hAnsi="Cambria"/>
                <w:b/>
                <w:color w:val="00B050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>s. 119(3)</w:t>
            </w:r>
            <w:r>
              <w:rPr>
                <w:rFonts w:ascii="Cambria" w:hAnsi="Cambria"/>
                <w:color w:val="00B050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>– suit must be brought within 2 years of director ceasing to be director</w:t>
            </w:r>
          </w:p>
        </w:tc>
        <w:tc>
          <w:tcPr>
            <w:tcW w:w="5670" w:type="dxa"/>
          </w:tcPr>
          <w:p w14:paraId="1380BB4A" w14:textId="75DA8F2F" w:rsidR="00EA5E7C" w:rsidRPr="0052396E" w:rsidRDefault="00EA5E7C" w:rsidP="00EA5E7C">
            <w:pPr>
              <w:rPr>
                <w:rFonts w:ascii="Cambria" w:hAnsi="Cambria"/>
                <w:b/>
                <w:color w:val="ED7D31" w:themeColor="accent2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>s. 131(2)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– no limitation period, but other conditions</w:t>
            </w:r>
          </w:p>
        </w:tc>
      </w:tr>
      <w:tr w:rsidR="00EA5E7C" w14:paraId="4A7101F0" w14:textId="77777777" w:rsidTr="001F4919">
        <w:trPr>
          <w:trHeight w:val="345"/>
        </w:trPr>
        <w:tc>
          <w:tcPr>
            <w:tcW w:w="2694" w:type="dxa"/>
          </w:tcPr>
          <w:p w14:paraId="06B11EF5" w14:textId="7CD98FAA" w:rsidR="00EA5E7C" w:rsidRPr="00FB628D" w:rsidRDefault="00EA5E7C" w:rsidP="00EA5E7C">
            <w:pPr>
              <w:rPr>
                <w:rFonts w:ascii="Cambria" w:hAnsi="Cambria"/>
                <w:b/>
                <w:lang w:val="en-CA"/>
              </w:rPr>
            </w:pPr>
            <w:r w:rsidRPr="00FB628D">
              <w:rPr>
                <w:rFonts w:ascii="Cambria" w:hAnsi="Cambria"/>
                <w:b/>
                <w:lang w:val="en-CA"/>
              </w:rPr>
              <w:t>Interested Directors Contract</w:t>
            </w:r>
            <w:r>
              <w:rPr>
                <w:rFonts w:ascii="Cambria" w:hAnsi="Cambria"/>
                <w:b/>
                <w:lang w:val="en-CA"/>
              </w:rPr>
              <w:t>s</w:t>
            </w:r>
          </w:p>
        </w:tc>
        <w:tc>
          <w:tcPr>
            <w:tcW w:w="5529" w:type="dxa"/>
          </w:tcPr>
          <w:p w14:paraId="416955A8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 xml:space="preserve">s. 120(5) </w:t>
            </w:r>
            <w:r>
              <w:rPr>
                <w:rFonts w:ascii="Cambria" w:hAnsi="Cambria"/>
                <w:color w:val="000000" w:themeColor="text1"/>
                <w:lang w:val="en-CA"/>
              </w:rPr>
              <w:t>– directors, officers, employees, agents, or mandatories of the corporation or an affiliate who have a personal interest can vote on their own remuneration</w:t>
            </w:r>
          </w:p>
          <w:p w14:paraId="0107F343" w14:textId="77777777" w:rsidR="00EA5E7C" w:rsidRPr="00143F41" w:rsidRDefault="00EA5E7C" w:rsidP="00EA5E7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color w:val="000000" w:themeColor="text1"/>
                <w:lang w:val="en-CA"/>
              </w:rPr>
              <w:t>This only applies to officers, employees, agents, or mandatories who are ALSO directors</w:t>
            </w:r>
          </w:p>
          <w:p w14:paraId="290C1407" w14:textId="77777777" w:rsidR="00EA5E7C" w:rsidRDefault="00EA5E7C" w:rsidP="00EA5E7C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color w:val="000000" w:themeColor="text1"/>
                <w:lang w:val="en-CA"/>
              </w:rPr>
              <w:t>However, under good corporate governance, officers never vote on their own salaries, so this rarely comes up</w:t>
            </w:r>
          </w:p>
          <w:p w14:paraId="4F691D58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0E97A548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 w:rsidRPr="005A22E2">
              <w:rPr>
                <w:rFonts w:ascii="Cambria" w:hAnsi="Cambria"/>
                <w:b/>
                <w:color w:val="00B050"/>
                <w:lang w:val="en-CA"/>
              </w:rPr>
              <w:t>s. 120(6.1)</w:t>
            </w:r>
            <w:r w:rsidRPr="005A22E2">
              <w:rPr>
                <w:rFonts w:ascii="Cambria" w:hAnsi="Cambria"/>
                <w:color w:val="00B050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>– Shareholders can examine the portion of the directors’ meeting minutes that contain disclosures under this section</w:t>
            </w:r>
          </w:p>
          <w:p w14:paraId="53FD5BCB" w14:textId="6AAC70F4" w:rsidR="00EA5E7C" w:rsidRPr="0052396E" w:rsidRDefault="00EA5E7C" w:rsidP="00EA5E7C">
            <w:pPr>
              <w:rPr>
                <w:rFonts w:ascii="Cambria" w:hAnsi="Cambria"/>
                <w:b/>
                <w:color w:val="00B050"/>
                <w:lang w:val="en-CA"/>
              </w:rPr>
            </w:pPr>
            <w:r>
              <w:rPr>
                <w:rFonts w:ascii="Cambria" w:hAnsi="Cambria"/>
                <w:color w:val="000000" w:themeColor="text1"/>
                <w:lang w:val="en-CA"/>
              </w:rPr>
              <w:t>Normally, shareholders are forbidden from viewing director meeting minutes</w:t>
            </w:r>
          </w:p>
        </w:tc>
        <w:tc>
          <w:tcPr>
            <w:tcW w:w="5670" w:type="dxa"/>
          </w:tcPr>
          <w:p w14:paraId="74762A83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 xml:space="preserve">s. 132(5) </w:t>
            </w:r>
            <w:r>
              <w:rPr>
                <w:rFonts w:ascii="Cambria" w:hAnsi="Cambria"/>
                <w:color w:val="000000" w:themeColor="text1"/>
                <w:lang w:val="en-CA"/>
              </w:rPr>
              <w:t>– only directors who have a personal interest can vote on their own remuneration</w:t>
            </w:r>
          </w:p>
          <w:p w14:paraId="7449D6AD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4FBDAB0D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3A57E378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58BE52F3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188124BF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2D6B7F84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1007B369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127A8F6D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02DCF8A1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39B75CD4" w14:textId="723AFC85" w:rsidR="00EA5E7C" w:rsidRPr="0052396E" w:rsidRDefault="00EA5E7C" w:rsidP="00EA5E7C">
            <w:pPr>
              <w:rPr>
                <w:rFonts w:ascii="Cambria" w:hAnsi="Cambria"/>
                <w:b/>
                <w:color w:val="ED7D31" w:themeColor="accent2"/>
                <w:lang w:val="en-CA"/>
              </w:rPr>
            </w:pPr>
            <w:r>
              <w:rPr>
                <w:rFonts w:ascii="Cambria" w:hAnsi="Cambria"/>
                <w:color w:val="000000" w:themeColor="text1"/>
                <w:lang w:val="en-CA"/>
              </w:rPr>
              <w:t>*  no provision allowing shareholders to view portion of minutes relating to disclosure</w:t>
            </w:r>
          </w:p>
        </w:tc>
      </w:tr>
      <w:tr w:rsidR="00EA5E7C" w14:paraId="07868970" w14:textId="77777777" w:rsidTr="001F4919">
        <w:trPr>
          <w:trHeight w:val="345"/>
        </w:trPr>
        <w:tc>
          <w:tcPr>
            <w:tcW w:w="2694" w:type="dxa"/>
          </w:tcPr>
          <w:p w14:paraId="0ADFBCDE" w14:textId="7D72B542" w:rsidR="00EA5E7C" w:rsidRPr="00FB628D" w:rsidRDefault="00EA5E7C" w:rsidP="00EA5E7C">
            <w:pPr>
              <w:rPr>
                <w:rFonts w:ascii="Cambria" w:hAnsi="Cambria"/>
                <w:b/>
                <w:lang w:val="en-CA"/>
              </w:rPr>
            </w:pPr>
            <w:r w:rsidRPr="00FB628D">
              <w:rPr>
                <w:rFonts w:ascii="Cambria" w:hAnsi="Cambria"/>
                <w:b/>
                <w:lang w:val="en-CA"/>
              </w:rPr>
              <w:t>Duty of Care</w:t>
            </w:r>
          </w:p>
        </w:tc>
        <w:tc>
          <w:tcPr>
            <w:tcW w:w="5529" w:type="dxa"/>
          </w:tcPr>
          <w:p w14:paraId="445D3F07" w14:textId="34A0924C" w:rsidR="00EA5E7C" w:rsidRPr="0052396E" w:rsidRDefault="00EA5E7C" w:rsidP="00EA5E7C">
            <w:pPr>
              <w:rPr>
                <w:rFonts w:ascii="Cambria" w:hAnsi="Cambria"/>
                <w:b/>
                <w:color w:val="00B050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 xml:space="preserve">s. 122(1)(a) </w:t>
            </w:r>
            <w:r w:rsidRPr="00C60FB5">
              <w:rPr>
                <w:rFonts w:ascii="Cambria" w:hAnsi="Cambria"/>
                <w:color w:val="000000" w:themeColor="text1"/>
                <w:lang w:val="en-CA"/>
              </w:rPr>
              <w:t>and</w:t>
            </w:r>
            <w:r w:rsidRPr="00C60FB5">
              <w:rPr>
                <w:rFonts w:ascii="Cambria" w:hAnsi="Cambria"/>
                <w:b/>
                <w:color w:val="000000" w:themeColor="text1"/>
                <w:lang w:val="en-CA"/>
              </w:rPr>
              <w:t xml:space="preserve"> </w:t>
            </w:r>
            <w:r>
              <w:rPr>
                <w:rFonts w:ascii="Cambria" w:hAnsi="Cambria"/>
                <w:b/>
                <w:color w:val="00B050"/>
                <w:lang w:val="en-CA"/>
              </w:rPr>
              <w:t>(1)(b)</w:t>
            </w:r>
            <w:r>
              <w:rPr>
                <w:rFonts w:ascii="Cambria" w:hAnsi="Cambria"/>
                <w:color w:val="00B050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>– duties may apply to more than just the corporation (</w:t>
            </w:r>
            <w:r w:rsidRPr="00C60FB5">
              <w:rPr>
                <w:rFonts w:ascii="Cambria" w:hAnsi="Cambria"/>
                <w:i/>
                <w:color w:val="FF0000"/>
                <w:lang w:val="en-CA"/>
              </w:rPr>
              <w:t>People v Wise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; </w:t>
            </w:r>
            <w:r>
              <w:rPr>
                <w:rFonts w:ascii="Cambria" w:hAnsi="Cambria"/>
                <w:i/>
                <w:color w:val="FF0000"/>
                <w:lang w:val="en-CA"/>
              </w:rPr>
              <w:t>BCE</w:t>
            </w:r>
            <w:r>
              <w:rPr>
                <w:rFonts w:ascii="Cambria" w:hAnsi="Cambria"/>
                <w:color w:val="000000" w:themeColor="text1"/>
                <w:lang w:val="en-CA"/>
              </w:rPr>
              <w:t>)</w:t>
            </w:r>
          </w:p>
        </w:tc>
        <w:tc>
          <w:tcPr>
            <w:tcW w:w="5670" w:type="dxa"/>
          </w:tcPr>
          <w:p w14:paraId="4847DA17" w14:textId="0F19480D" w:rsidR="00EA5E7C" w:rsidRPr="0052396E" w:rsidRDefault="00EA5E7C" w:rsidP="00EA5E7C">
            <w:pPr>
              <w:rPr>
                <w:rFonts w:ascii="Cambria" w:hAnsi="Cambria"/>
                <w:b/>
                <w:color w:val="ED7D31" w:themeColor="accent2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 xml:space="preserve">s. 134(1)(a) </w:t>
            </w:r>
            <w:r w:rsidRPr="00C60FB5">
              <w:rPr>
                <w:rFonts w:ascii="Cambria" w:hAnsi="Cambria"/>
                <w:color w:val="000000" w:themeColor="text1"/>
                <w:lang w:val="en-CA"/>
              </w:rPr>
              <w:t>and</w:t>
            </w:r>
            <w:r w:rsidRPr="00C60FB5">
              <w:rPr>
                <w:rFonts w:ascii="Cambria" w:hAnsi="Cambria"/>
                <w:b/>
                <w:color w:val="000000" w:themeColor="text1"/>
                <w:lang w:val="en-CA"/>
              </w:rPr>
              <w:t xml:space="preserve"> </w:t>
            </w:r>
            <w:r>
              <w:rPr>
                <w:rFonts w:ascii="Cambria" w:hAnsi="Cambria"/>
                <w:b/>
                <w:color w:val="ED7D31" w:themeColor="accent2"/>
                <w:lang w:val="en-CA"/>
              </w:rPr>
              <w:t>(1)(b)</w:t>
            </w:r>
            <w:r>
              <w:rPr>
                <w:rFonts w:ascii="Cambria" w:hAnsi="Cambria"/>
                <w:color w:val="ED7D31" w:themeColor="accent2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duties apply ONLY to the corporation (amended after </w:t>
            </w:r>
            <w:r w:rsidRPr="00C60FB5">
              <w:rPr>
                <w:rFonts w:ascii="Cambria" w:hAnsi="Cambria"/>
                <w:i/>
                <w:color w:val="FF0000"/>
                <w:lang w:val="en-CA"/>
              </w:rPr>
              <w:t>People v Wise</w:t>
            </w:r>
            <w:r>
              <w:rPr>
                <w:rFonts w:ascii="Cambria" w:hAnsi="Cambria"/>
                <w:color w:val="000000" w:themeColor="text1"/>
                <w:lang w:val="en-CA"/>
              </w:rPr>
              <w:t>).</w:t>
            </w:r>
          </w:p>
        </w:tc>
      </w:tr>
      <w:tr w:rsidR="00EA5E7C" w14:paraId="271004F9" w14:textId="77777777" w:rsidTr="001F4919">
        <w:trPr>
          <w:trHeight w:val="345"/>
        </w:trPr>
        <w:tc>
          <w:tcPr>
            <w:tcW w:w="2694" w:type="dxa"/>
          </w:tcPr>
          <w:p w14:paraId="16954EBB" w14:textId="52D21E14" w:rsidR="00EA5E7C" w:rsidRPr="00FB628D" w:rsidRDefault="00EA5E7C" w:rsidP="00EA5E7C">
            <w:pPr>
              <w:rPr>
                <w:rFonts w:ascii="Cambria" w:hAnsi="Cambria"/>
                <w:b/>
                <w:lang w:val="en-CA"/>
              </w:rPr>
            </w:pPr>
            <w:r w:rsidRPr="00FB628D">
              <w:rPr>
                <w:rFonts w:ascii="Cambria" w:hAnsi="Cambria"/>
                <w:b/>
                <w:lang w:val="en-CA"/>
              </w:rPr>
              <w:lastRenderedPageBreak/>
              <w:t>Defence of Due Diligence for Director Liabilities</w:t>
            </w:r>
          </w:p>
        </w:tc>
        <w:tc>
          <w:tcPr>
            <w:tcW w:w="5529" w:type="dxa"/>
          </w:tcPr>
          <w:p w14:paraId="78FA152D" w14:textId="61D8CBEA" w:rsidR="00EA5E7C" w:rsidRPr="0052396E" w:rsidRDefault="00EA5E7C" w:rsidP="00EA5E7C">
            <w:pPr>
              <w:rPr>
                <w:rFonts w:ascii="Cambria" w:hAnsi="Cambria"/>
                <w:b/>
                <w:color w:val="00B050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 xml:space="preserve">s. 123(4) </w:t>
            </w:r>
            <w:r>
              <w:rPr>
                <w:rFonts w:ascii="Cambria" w:hAnsi="Cambria"/>
                <w:color w:val="000000" w:themeColor="text1"/>
                <w:lang w:val="en-CA"/>
              </w:rPr>
              <w:t>– due diligence defense a</w:t>
            </w:r>
            <w:r w:rsidRPr="002844FC">
              <w:rPr>
                <w:rFonts w:ascii="Cambria" w:hAnsi="Cambria"/>
                <w:color w:val="000000" w:themeColor="text1"/>
                <w:lang w:val="en-CA"/>
              </w:rPr>
              <w:t xml:space="preserve">pplies to all </w:t>
            </w:r>
            <w:r w:rsidRPr="002844FC">
              <w:rPr>
                <w:rFonts w:ascii="Cambria" w:hAnsi="Cambria"/>
                <w:color w:val="00B050"/>
                <w:lang w:val="en-CA"/>
              </w:rPr>
              <w:t>s.118</w:t>
            </w:r>
            <w:r w:rsidRPr="002844FC">
              <w:rPr>
                <w:rFonts w:ascii="Cambria" w:hAnsi="Cambria"/>
                <w:color w:val="000000" w:themeColor="text1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liabilities (corporation sells shares at lower than market value for consideration other than money) </w:t>
            </w:r>
            <w:r>
              <w:rPr>
                <w:rFonts w:ascii="Cambria" w:hAnsi="Cambria"/>
                <w:b/>
                <w:color w:val="000000" w:themeColor="text1"/>
                <w:lang w:val="en-CA"/>
              </w:rPr>
              <w:t>AND</w:t>
            </w:r>
            <w:r w:rsidRPr="002844FC">
              <w:rPr>
                <w:rFonts w:ascii="Cambria" w:hAnsi="Cambria"/>
                <w:color w:val="000000" w:themeColor="text1"/>
                <w:lang w:val="en-CA"/>
              </w:rPr>
              <w:t xml:space="preserve"> </w:t>
            </w:r>
            <w:r w:rsidRPr="002844FC">
              <w:rPr>
                <w:rFonts w:ascii="Cambria" w:hAnsi="Cambria"/>
                <w:color w:val="00B050"/>
                <w:lang w:val="en-CA"/>
              </w:rPr>
              <w:t xml:space="preserve">s.119 </w:t>
            </w:r>
            <w:r w:rsidRPr="002844FC">
              <w:rPr>
                <w:rFonts w:ascii="Cambria" w:hAnsi="Cambria"/>
                <w:color w:val="000000" w:themeColor="text1"/>
                <w:lang w:val="en-CA"/>
              </w:rPr>
              <w:t>liabilities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(unpaid employee wages) </w:t>
            </w:r>
          </w:p>
        </w:tc>
        <w:tc>
          <w:tcPr>
            <w:tcW w:w="5670" w:type="dxa"/>
          </w:tcPr>
          <w:p w14:paraId="2D0B56DC" w14:textId="5513CA5D" w:rsidR="00EA5E7C" w:rsidRPr="0052396E" w:rsidRDefault="00EA5E7C" w:rsidP="00EA5E7C">
            <w:pPr>
              <w:rPr>
                <w:rFonts w:ascii="Cambria" w:hAnsi="Cambria"/>
                <w:b/>
                <w:color w:val="ED7D31" w:themeColor="accent2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 xml:space="preserve">s. 135(4)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due diligence defense applies </w:t>
            </w:r>
            <w:r w:rsidRPr="002844FC">
              <w:rPr>
                <w:rFonts w:ascii="Cambria" w:hAnsi="Cambria"/>
                <w:color w:val="000000" w:themeColor="text1"/>
                <w:lang w:val="en-CA"/>
              </w:rPr>
              <w:t xml:space="preserve">to </w:t>
            </w:r>
            <w:r w:rsidRPr="002844FC">
              <w:rPr>
                <w:rFonts w:ascii="Cambria" w:hAnsi="Cambria"/>
                <w:color w:val="ED7D31" w:themeColor="accent2"/>
                <w:lang w:val="en-CA"/>
              </w:rPr>
              <w:t xml:space="preserve">s.130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(liability when corporation sells shares at lower than market value for value other than money), </w:t>
            </w:r>
            <w:r w:rsidRPr="007527A8">
              <w:rPr>
                <w:rFonts w:ascii="Cambria" w:hAnsi="Cambria"/>
                <w:b/>
                <w:color w:val="000000" w:themeColor="text1"/>
                <w:lang w:val="en-CA"/>
              </w:rPr>
              <w:t>but not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</w:t>
            </w:r>
            <w:r w:rsidRPr="002844FC">
              <w:rPr>
                <w:rFonts w:ascii="Cambria" w:hAnsi="Cambria"/>
                <w:color w:val="ED7D31" w:themeColor="accent2"/>
                <w:lang w:val="en-CA"/>
              </w:rPr>
              <w:t>s. 131</w:t>
            </w:r>
            <w:r>
              <w:rPr>
                <w:rFonts w:ascii="Cambria" w:hAnsi="Cambria"/>
                <w:color w:val="ED7D31" w:themeColor="accent2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>(liability for unpaid employee wages)</w:t>
            </w:r>
          </w:p>
        </w:tc>
      </w:tr>
      <w:tr w:rsidR="00EA5E7C" w14:paraId="34F5EBC5" w14:textId="77777777" w:rsidTr="001F4919">
        <w:trPr>
          <w:trHeight w:val="345"/>
        </w:trPr>
        <w:tc>
          <w:tcPr>
            <w:tcW w:w="2694" w:type="dxa"/>
          </w:tcPr>
          <w:p w14:paraId="458A3556" w14:textId="08BCB646" w:rsidR="00EA5E7C" w:rsidRPr="00FB628D" w:rsidRDefault="00EA5E7C" w:rsidP="00EA5E7C">
            <w:pPr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t>Standing to Bring Shareholder Proposal</w:t>
            </w:r>
          </w:p>
        </w:tc>
        <w:tc>
          <w:tcPr>
            <w:tcW w:w="5529" w:type="dxa"/>
          </w:tcPr>
          <w:p w14:paraId="4AA93E0C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>s. 137(1.1)</w:t>
            </w:r>
            <w:r>
              <w:rPr>
                <w:rFonts w:ascii="Cambria" w:hAnsi="Cambria"/>
                <w:color w:val="00B050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must be registered shareholder or beneficial owner of shares, continue to hold shares for 6 months before submitting proposal, and own at least 1% of outstanding shares </w:t>
            </w:r>
            <w:r>
              <w:rPr>
                <w:rFonts w:ascii="Cambria" w:hAnsi="Cambria"/>
                <w:color w:val="000000" w:themeColor="text1"/>
                <w:u w:val="single"/>
                <w:lang w:val="en-CA"/>
              </w:rPr>
              <w:t>or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at least $2000 in market value of shares (whichever is less)</w:t>
            </w:r>
          </w:p>
          <w:p w14:paraId="59BE290D" w14:textId="77777777" w:rsidR="00EA5E7C" w:rsidRDefault="00EA5E7C" w:rsidP="00EA5E7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color w:val="000000" w:themeColor="text1"/>
                <w:lang w:val="en-CA"/>
              </w:rPr>
              <w:t>In order to prevent shareholder with shares in competing company to be able to make a proposal against management</w:t>
            </w:r>
          </w:p>
          <w:p w14:paraId="6F39B7A1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14468883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 w:rsidRPr="00F24C2F">
              <w:rPr>
                <w:rFonts w:ascii="Cambria" w:hAnsi="Cambria"/>
                <w:b/>
                <w:color w:val="00B050"/>
                <w:lang w:val="en-CA"/>
              </w:rPr>
              <w:t>s. 137(5)(a)</w:t>
            </w:r>
            <w:r>
              <w:rPr>
                <w:rFonts w:ascii="Cambria" w:hAnsi="Cambria"/>
                <w:b/>
                <w:color w:val="00B050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>– corporation does not have to submit proposal in proxy circular with a statement of report if it is not received before 90 days of the anniversary date of the previous year’s meeting</w:t>
            </w:r>
          </w:p>
          <w:p w14:paraId="70EFC827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622D013A" w14:textId="39DE73B5" w:rsidR="00EA5E7C" w:rsidRPr="0052396E" w:rsidRDefault="00EA5E7C" w:rsidP="00EA5E7C">
            <w:pPr>
              <w:rPr>
                <w:rFonts w:ascii="Cambria" w:hAnsi="Cambria"/>
                <w:b/>
                <w:color w:val="00B050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>s. 137(5</w:t>
            </w:r>
            <w:r w:rsidRPr="00B1356C">
              <w:rPr>
                <w:rFonts w:ascii="Cambria" w:hAnsi="Cambria"/>
                <w:b/>
                <w:color w:val="00B050"/>
                <w:lang w:val="en-CA"/>
              </w:rPr>
              <w:t>)</w:t>
            </w:r>
            <w:r>
              <w:rPr>
                <w:rFonts w:ascii="Cambria" w:hAnsi="Cambria"/>
                <w:b/>
                <w:color w:val="00B050"/>
                <w:lang w:val="en-CA"/>
              </w:rPr>
              <w:t>(e)</w:t>
            </w:r>
            <w:r w:rsidRPr="00B1356C">
              <w:rPr>
                <w:rFonts w:ascii="Cambria" w:hAnsi="Cambria"/>
                <w:color w:val="00B050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corporation can refuse to include proposal in proxy circular if being abused to secure publicity </w:t>
            </w:r>
          </w:p>
        </w:tc>
        <w:tc>
          <w:tcPr>
            <w:tcW w:w="5670" w:type="dxa"/>
          </w:tcPr>
          <w:p w14:paraId="2609C431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 xml:space="preserve">s. 99(1)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must be a registered shareholder of shares </w:t>
            </w:r>
            <w:r>
              <w:rPr>
                <w:rFonts w:ascii="Cambria" w:hAnsi="Cambria"/>
                <w:color w:val="000000" w:themeColor="text1"/>
                <w:u w:val="single"/>
                <w:lang w:val="en-CA"/>
              </w:rPr>
              <w:t>entitled to vote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or beneficial owner of shares entitled to vote [</w:t>
            </w:r>
            <w:r>
              <w:rPr>
                <w:rFonts w:ascii="Cambria" w:hAnsi="Cambria"/>
                <w:b/>
                <w:color w:val="000000" w:themeColor="text1"/>
                <w:lang w:val="en-CA"/>
              </w:rPr>
              <w:t>no time or proportion of share restriction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– 1 share is good enough].</w:t>
            </w:r>
          </w:p>
          <w:p w14:paraId="5FB852AE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3D48D6F8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 w:rsidRPr="00AD585D">
              <w:rPr>
                <w:rFonts w:ascii="Cambria" w:hAnsi="Cambria"/>
                <w:b/>
                <w:color w:val="ED7D31" w:themeColor="accent2"/>
                <w:lang w:val="en-CA"/>
              </w:rPr>
              <w:t>s. 99(5)(a)</w:t>
            </w:r>
            <w:r w:rsidRPr="00AD585D">
              <w:rPr>
                <w:rFonts w:ascii="Cambria" w:hAnsi="Cambria"/>
                <w:color w:val="ED7D31" w:themeColor="accent2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>– corporation does not have to submit in proxy circular if not received before 60 days of anniversary of meeting (diff. for non-offering corporation)</w:t>
            </w:r>
          </w:p>
          <w:p w14:paraId="2E6BC84E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77F01480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504F6D3B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121E5EA8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32220DED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7394F7DE" w14:textId="5F7D0E18" w:rsidR="00EA5E7C" w:rsidRPr="0052396E" w:rsidRDefault="00EA5E7C" w:rsidP="00EA5E7C">
            <w:pPr>
              <w:rPr>
                <w:rFonts w:ascii="Cambria" w:hAnsi="Cambria"/>
                <w:b/>
                <w:color w:val="ED7D31" w:themeColor="accent2"/>
                <w:lang w:val="en-CA"/>
              </w:rPr>
            </w:pPr>
            <w:r>
              <w:rPr>
                <w:rFonts w:ascii="Cambria" w:hAnsi="Cambria"/>
                <w:color w:val="000000" w:themeColor="text1"/>
                <w:lang w:val="en-CA"/>
              </w:rPr>
              <w:t>*Includes no provision allowing corporation to refuse to include if being abused to secure publicity</w:t>
            </w:r>
          </w:p>
        </w:tc>
      </w:tr>
      <w:tr w:rsidR="00EA5E7C" w14:paraId="3B090886" w14:textId="77777777" w:rsidTr="001F4919">
        <w:trPr>
          <w:trHeight w:val="345"/>
        </w:trPr>
        <w:tc>
          <w:tcPr>
            <w:tcW w:w="2694" w:type="dxa"/>
          </w:tcPr>
          <w:p w14:paraId="5DF6194C" w14:textId="3637A2C6" w:rsidR="00EA5E7C" w:rsidRPr="00FB628D" w:rsidRDefault="00EA5E7C" w:rsidP="00EA5E7C">
            <w:pPr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t>Unanimous Shareholder Agreement</w:t>
            </w:r>
          </w:p>
        </w:tc>
        <w:tc>
          <w:tcPr>
            <w:tcW w:w="5529" w:type="dxa"/>
          </w:tcPr>
          <w:p w14:paraId="0F6C48FE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 xml:space="preserve">s. 146(3)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</w:t>
            </w:r>
            <w:r w:rsidRPr="00236B62">
              <w:rPr>
                <w:rFonts w:ascii="Cambria" w:hAnsi="Cambria"/>
                <w:b/>
                <w:color w:val="000000" w:themeColor="text1"/>
                <w:lang w:val="en-CA"/>
              </w:rPr>
              <w:t>transferees and purchasers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(of new shares) are bound by unanimous shareholders agreements</w:t>
            </w:r>
          </w:p>
          <w:p w14:paraId="4839018E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4DFD70CA" w14:textId="77777777" w:rsidR="00EA5E7C" w:rsidRPr="00826618" w:rsidRDefault="00EA5E7C" w:rsidP="00EA5E7C">
            <w:pPr>
              <w:rPr>
                <w:rFonts w:ascii="Cambria" w:hAnsi="Cambria"/>
                <w:color w:val="000000" w:themeColor="text1"/>
                <w:u w:val="single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 xml:space="preserve">s. 146(4)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if transferee or shareholder not given notice of USA, has 30 days to </w:t>
            </w:r>
            <w:r w:rsidRPr="00406EE9">
              <w:rPr>
                <w:rFonts w:ascii="Cambria" w:hAnsi="Cambria"/>
                <w:color w:val="000000" w:themeColor="text1"/>
                <w:u w:val="single"/>
                <w:lang w:val="en-CA"/>
              </w:rPr>
              <w:t>rescind the transaction</w:t>
            </w:r>
          </w:p>
          <w:p w14:paraId="0EDCC4CF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4677015B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color w:val="000000" w:themeColor="text1"/>
                <w:lang w:val="en-CA"/>
              </w:rPr>
              <w:t>*Does not specify how to amend USAs</w:t>
            </w:r>
          </w:p>
          <w:p w14:paraId="5E7BD6D3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4FED4387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45356AE0" w14:textId="5C447AF1" w:rsidR="00EA5E7C" w:rsidRPr="0052396E" w:rsidRDefault="00EA5E7C" w:rsidP="00EA5E7C">
            <w:pPr>
              <w:rPr>
                <w:rFonts w:ascii="Cambria" w:hAnsi="Cambria"/>
                <w:b/>
                <w:color w:val="00B050"/>
                <w:lang w:val="en-CA"/>
              </w:rPr>
            </w:pPr>
            <w:r>
              <w:rPr>
                <w:rFonts w:ascii="Cambria" w:hAnsi="Cambria"/>
                <w:color w:val="000000" w:themeColor="text1"/>
                <w:lang w:val="en-CA"/>
              </w:rPr>
              <w:lastRenderedPageBreak/>
              <w:t>*Does not specify ability to arbitrate</w:t>
            </w:r>
          </w:p>
        </w:tc>
        <w:tc>
          <w:tcPr>
            <w:tcW w:w="5670" w:type="dxa"/>
          </w:tcPr>
          <w:p w14:paraId="4A2D54C7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lastRenderedPageBreak/>
              <w:t>s. 108(4)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– </w:t>
            </w:r>
            <w:r>
              <w:rPr>
                <w:rFonts w:ascii="Cambria" w:hAnsi="Cambria"/>
                <w:b/>
                <w:color w:val="000000" w:themeColor="text1"/>
                <w:lang w:val="en-CA"/>
              </w:rPr>
              <w:t>only transferees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are bound by unanimous shareholder agreements</w:t>
            </w:r>
          </w:p>
          <w:p w14:paraId="481A3F58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31FCDFC5" w14:textId="77777777" w:rsidR="00EA5E7C" w:rsidRDefault="00EA5E7C" w:rsidP="00EA5E7C">
            <w:pPr>
              <w:rPr>
                <w:rFonts w:ascii="Cambria" w:hAnsi="Cambria"/>
                <w:color w:val="000000" w:themeColor="text1"/>
                <w:u w:val="single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>s. 108(9)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– if transferee was not given notice of USA, and share certificate had no reference to USA, has 60 days to </w:t>
            </w:r>
            <w:r w:rsidRPr="00406EE9">
              <w:rPr>
                <w:rFonts w:ascii="Cambria" w:hAnsi="Cambria"/>
                <w:color w:val="000000" w:themeColor="text1"/>
                <w:u w:val="single"/>
                <w:lang w:val="en-CA"/>
              </w:rPr>
              <w:t>file notice of objection</w:t>
            </w:r>
          </w:p>
          <w:p w14:paraId="4D216960" w14:textId="77777777" w:rsidR="00EA5E7C" w:rsidRDefault="00EA5E7C" w:rsidP="00EA5E7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lang w:val="en-CA"/>
              </w:rPr>
            </w:pPr>
            <w:r w:rsidRPr="00406EE9">
              <w:rPr>
                <w:rFonts w:ascii="Cambria" w:hAnsi="Cambria"/>
                <w:b/>
                <w:color w:val="ED7D31" w:themeColor="accent2"/>
                <w:lang w:val="en-CA"/>
              </w:rPr>
              <w:t>108(10)</w:t>
            </w:r>
            <w:r w:rsidRPr="00406EE9">
              <w:rPr>
                <w:rFonts w:ascii="Cambria" w:hAnsi="Cambria"/>
                <w:color w:val="ED7D31" w:themeColor="accent2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>– file notice of objection = (a) rescind; (b) demand transferor pays fair value, as determined at day of delivery</w:t>
            </w:r>
          </w:p>
          <w:p w14:paraId="15D4556E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0DDE105D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>s. 108(6)(a)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– can amend USAs only as set out in </w:t>
            </w:r>
            <w:r>
              <w:rPr>
                <w:rFonts w:ascii="Cambria" w:hAnsi="Cambria"/>
                <w:color w:val="000000" w:themeColor="text1"/>
                <w:lang w:val="en-CA"/>
              </w:rPr>
              <w:lastRenderedPageBreak/>
              <w:t>OBCA</w:t>
            </w:r>
          </w:p>
          <w:p w14:paraId="1B268A7E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309BBAEC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>s. 108(6)(b)</w:t>
            </w:r>
            <w:r>
              <w:rPr>
                <w:rFonts w:ascii="Cambria" w:hAnsi="Cambria"/>
                <w:color w:val="ED7D31" w:themeColor="accent2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>– directors can go to arbitration to resolve disputes surrounding USAs</w:t>
            </w:r>
          </w:p>
          <w:p w14:paraId="2D51ED4A" w14:textId="615EBD95" w:rsidR="00EA5E7C" w:rsidRPr="0052396E" w:rsidRDefault="00EA5E7C" w:rsidP="00EA5E7C">
            <w:pPr>
              <w:rPr>
                <w:rFonts w:ascii="Cambria" w:hAnsi="Cambria"/>
                <w:b/>
                <w:color w:val="ED7D31" w:themeColor="accent2"/>
                <w:lang w:val="en-CA"/>
              </w:rPr>
            </w:pPr>
            <w:r>
              <w:rPr>
                <w:rFonts w:ascii="Cambria" w:hAnsi="Cambria"/>
                <w:color w:val="000000" w:themeColor="text1"/>
                <w:lang w:val="en-CA"/>
              </w:rPr>
              <w:t>NOTE: directors cannot attend arbitration for any other dispute as it would fetter their discretion.</w:t>
            </w:r>
          </w:p>
        </w:tc>
      </w:tr>
      <w:tr w:rsidR="00EA5E7C" w14:paraId="6F67FB21" w14:textId="77777777" w:rsidTr="001F4919">
        <w:trPr>
          <w:trHeight w:val="345"/>
        </w:trPr>
        <w:tc>
          <w:tcPr>
            <w:tcW w:w="2694" w:type="dxa"/>
          </w:tcPr>
          <w:p w14:paraId="17610A85" w14:textId="6DA33D82" w:rsidR="00EA5E7C" w:rsidRPr="00FB628D" w:rsidRDefault="00EA5E7C" w:rsidP="00EA5E7C">
            <w:pPr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lastRenderedPageBreak/>
              <w:t>Proxy Validity</w:t>
            </w:r>
          </w:p>
        </w:tc>
        <w:tc>
          <w:tcPr>
            <w:tcW w:w="5529" w:type="dxa"/>
          </w:tcPr>
          <w:p w14:paraId="00DD5A80" w14:textId="2A7BA4F4" w:rsidR="00EA5E7C" w:rsidRPr="0052396E" w:rsidRDefault="00EA5E7C" w:rsidP="00EA5E7C">
            <w:pPr>
              <w:rPr>
                <w:rFonts w:ascii="Cambria" w:hAnsi="Cambria"/>
                <w:b/>
                <w:color w:val="00B050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>s. 148(3)</w:t>
            </w:r>
            <w:r>
              <w:rPr>
                <w:rFonts w:ascii="Cambria" w:hAnsi="Cambria"/>
                <w:color w:val="00B050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Proxy is valid </w:t>
            </w:r>
            <w:r>
              <w:rPr>
                <w:rFonts w:ascii="Cambria" w:hAnsi="Cambria"/>
                <w:color w:val="000000" w:themeColor="text1"/>
                <w:u w:val="single"/>
                <w:lang w:val="en-CA"/>
              </w:rPr>
              <w:t>only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at the meeting in respect of which it is given or any adjournment thereof (for both private and public corporations)</w:t>
            </w:r>
          </w:p>
        </w:tc>
        <w:tc>
          <w:tcPr>
            <w:tcW w:w="5670" w:type="dxa"/>
          </w:tcPr>
          <w:p w14:paraId="647400E0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>s. 110(2.1)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– Proxy is valid at any public company meeting for one year after it was initially introduced</w:t>
            </w:r>
          </w:p>
          <w:p w14:paraId="46E58D3B" w14:textId="51528237" w:rsidR="00EA5E7C" w:rsidRPr="0052396E" w:rsidRDefault="00EA5E7C" w:rsidP="00EA5E7C">
            <w:pPr>
              <w:rPr>
                <w:rFonts w:ascii="Cambria" w:hAnsi="Cambria"/>
                <w:b/>
                <w:color w:val="ED7D31" w:themeColor="accent2"/>
                <w:lang w:val="en-CA"/>
              </w:rPr>
            </w:pPr>
            <w:r>
              <w:rPr>
                <w:rFonts w:ascii="Cambria" w:hAnsi="Cambria"/>
                <w:color w:val="000000" w:themeColor="text1"/>
                <w:lang w:val="en-CA"/>
              </w:rPr>
              <w:t>Implies that proxies of private corporations are valid anytime until revoked</w:t>
            </w:r>
          </w:p>
        </w:tc>
      </w:tr>
      <w:tr w:rsidR="00EA5E7C" w14:paraId="3FE66E17" w14:textId="77777777" w:rsidTr="001F4919">
        <w:trPr>
          <w:trHeight w:val="345"/>
        </w:trPr>
        <w:tc>
          <w:tcPr>
            <w:tcW w:w="2694" w:type="dxa"/>
          </w:tcPr>
          <w:p w14:paraId="10943040" w14:textId="4795C40D" w:rsidR="00EA5E7C" w:rsidRPr="00FB628D" w:rsidRDefault="00EA5E7C" w:rsidP="00EA5E7C">
            <w:pPr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t>Proxy Solicitation</w:t>
            </w:r>
          </w:p>
        </w:tc>
        <w:tc>
          <w:tcPr>
            <w:tcW w:w="5529" w:type="dxa"/>
          </w:tcPr>
          <w:p w14:paraId="200BC225" w14:textId="578F0163" w:rsidR="00EA5E7C" w:rsidRPr="0052396E" w:rsidRDefault="00EA5E7C" w:rsidP="00EA5E7C">
            <w:pPr>
              <w:rPr>
                <w:rFonts w:ascii="Cambria" w:hAnsi="Cambria"/>
                <w:b/>
                <w:color w:val="00B050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 xml:space="preserve">s. 149(2) </w:t>
            </w:r>
            <w:r>
              <w:rPr>
                <w:rFonts w:ascii="Cambria" w:hAnsi="Cambria"/>
                <w:color w:val="00B050"/>
                <w:lang w:val="en-CA"/>
              </w:rPr>
              <w:t>–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Public corporations and private corporations with more than 50 shareholders must solicit proxies</w:t>
            </w:r>
          </w:p>
        </w:tc>
        <w:tc>
          <w:tcPr>
            <w:tcW w:w="5670" w:type="dxa"/>
          </w:tcPr>
          <w:p w14:paraId="7E23D66F" w14:textId="24350490" w:rsidR="00EA5E7C" w:rsidRPr="0052396E" w:rsidRDefault="00EA5E7C" w:rsidP="00EA5E7C">
            <w:pPr>
              <w:rPr>
                <w:rFonts w:ascii="Cambria" w:hAnsi="Cambria"/>
                <w:b/>
                <w:color w:val="ED7D31" w:themeColor="accent2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>s. 111</w:t>
            </w:r>
            <w:r>
              <w:rPr>
                <w:rFonts w:ascii="Cambria" w:hAnsi="Cambria"/>
                <w:color w:val="ED7D31" w:themeColor="accent2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</w:t>
            </w:r>
            <w:r>
              <w:rPr>
                <w:rFonts w:ascii="Cambria" w:hAnsi="Cambria"/>
                <w:color w:val="000000" w:themeColor="text1"/>
                <w:u w:val="single"/>
                <w:lang w:val="en-CA"/>
              </w:rPr>
              <w:t>Only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public corporations are required to solicit proxies</w:t>
            </w:r>
          </w:p>
        </w:tc>
      </w:tr>
      <w:tr w:rsidR="00EA5E7C" w14:paraId="268356FD" w14:textId="77777777" w:rsidTr="001F4919">
        <w:trPr>
          <w:trHeight w:val="345"/>
        </w:trPr>
        <w:tc>
          <w:tcPr>
            <w:tcW w:w="2694" w:type="dxa"/>
          </w:tcPr>
          <w:p w14:paraId="1A1FA573" w14:textId="7D905570" w:rsidR="00EA5E7C" w:rsidRPr="00FB628D" w:rsidRDefault="00EA5E7C" w:rsidP="00EA5E7C">
            <w:pPr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t>Breach of Proxy Legislation – Remedy</w:t>
            </w:r>
          </w:p>
        </w:tc>
        <w:tc>
          <w:tcPr>
            <w:tcW w:w="5529" w:type="dxa"/>
          </w:tcPr>
          <w:p w14:paraId="4B1AFFB9" w14:textId="252AA865" w:rsidR="00EA5E7C" w:rsidRPr="0052396E" w:rsidRDefault="00EA5E7C" w:rsidP="00EA5E7C">
            <w:pPr>
              <w:rPr>
                <w:rFonts w:ascii="Cambria" w:hAnsi="Cambria"/>
                <w:b/>
                <w:color w:val="00B050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>s. 154(1)</w:t>
            </w:r>
            <w:r>
              <w:rPr>
                <w:rFonts w:ascii="Cambria" w:hAnsi="Cambria"/>
                <w:color w:val="00B050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</w:t>
            </w:r>
            <w:r w:rsidRPr="00B466AB">
              <w:rPr>
                <w:rFonts w:ascii="Cambria" w:hAnsi="Cambria"/>
                <w:color w:val="000000" w:themeColor="text1"/>
                <w:u w:val="single"/>
                <w:lang w:val="en-CA"/>
              </w:rPr>
              <w:t>an interested person or Director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may apply to a court for a restraining order or a mandatory injunction against the meeting</w:t>
            </w:r>
          </w:p>
        </w:tc>
        <w:tc>
          <w:tcPr>
            <w:tcW w:w="5670" w:type="dxa"/>
          </w:tcPr>
          <w:p w14:paraId="65D138F7" w14:textId="708AE429" w:rsidR="00EA5E7C" w:rsidRPr="0052396E" w:rsidRDefault="00EA5E7C" w:rsidP="00EA5E7C">
            <w:pPr>
              <w:rPr>
                <w:rFonts w:ascii="Cambria" w:hAnsi="Cambria"/>
                <w:b/>
                <w:color w:val="ED7D31" w:themeColor="accent2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>s. 253(2)</w:t>
            </w:r>
            <w:r>
              <w:rPr>
                <w:rFonts w:ascii="Cambria" w:hAnsi="Cambria"/>
                <w:color w:val="ED7D31" w:themeColor="accent2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only the </w:t>
            </w:r>
            <w:r w:rsidRPr="00B466AB">
              <w:rPr>
                <w:rFonts w:ascii="Cambria" w:hAnsi="Cambria"/>
                <w:color w:val="000000" w:themeColor="text1"/>
                <w:u w:val="single"/>
                <w:lang w:val="en-CA"/>
              </w:rPr>
              <w:t>Ontario Securities Commission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can apply to a court for a restraining order or mandatory injunction against the meeting.</w:t>
            </w:r>
          </w:p>
        </w:tc>
      </w:tr>
      <w:tr w:rsidR="00EA5E7C" w14:paraId="320DF84B" w14:textId="77777777" w:rsidTr="001F4919">
        <w:trPr>
          <w:trHeight w:val="345"/>
        </w:trPr>
        <w:tc>
          <w:tcPr>
            <w:tcW w:w="2694" w:type="dxa"/>
          </w:tcPr>
          <w:p w14:paraId="14A90217" w14:textId="2A655F59" w:rsidR="00EA5E7C" w:rsidRPr="00FB628D" w:rsidRDefault="00EA5E7C" w:rsidP="00EA5E7C">
            <w:pPr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t>Sending Out Financial Statements</w:t>
            </w:r>
          </w:p>
        </w:tc>
        <w:tc>
          <w:tcPr>
            <w:tcW w:w="5529" w:type="dxa"/>
          </w:tcPr>
          <w:p w14:paraId="32C1EC0C" w14:textId="0E07926E" w:rsidR="00EA5E7C" w:rsidRPr="0052396E" w:rsidRDefault="00EA5E7C" w:rsidP="00EA5E7C">
            <w:pPr>
              <w:rPr>
                <w:rFonts w:ascii="Cambria" w:hAnsi="Cambria"/>
                <w:b/>
                <w:color w:val="00B050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>s. 159(1)</w:t>
            </w:r>
            <w:r>
              <w:rPr>
                <w:rFonts w:ascii="Cambria" w:hAnsi="Cambria"/>
                <w:color w:val="00B050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Corporation must send out copies of financial statements to shareholders not less than </w:t>
            </w:r>
            <w:r w:rsidRPr="00FF2232">
              <w:rPr>
                <w:rFonts w:ascii="Cambria" w:hAnsi="Cambria"/>
                <w:color w:val="000000" w:themeColor="text1"/>
                <w:u w:val="single"/>
                <w:lang w:val="en-CA"/>
              </w:rPr>
              <w:t>21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days before annual meeting of shareholders </w:t>
            </w:r>
            <w:r>
              <w:rPr>
                <w:rFonts w:ascii="Cambria" w:hAnsi="Cambria"/>
                <w:color w:val="000000" w:themeColor="text1"/>
                <w:u w:val="single"/>
                <w:lang w:val="en-CA"/>
              </w:rPr>
              <w:t>except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to shareholders who have said they do not want one (positive obligation)</w:t>
            </w:r>
          </w:p>
        </w:tc>
        <w:tc>
          <w:tcPr>
            <w:tcW w:w="5670" w:type="dxa"/>
          </w:tcPr>
          <w:p w14:paraId="5389492C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>s. 154(3)</w:t>
            </w:r>
            <w:r>
              <w:rPr>
                <w:rFonts w:ascii="Cambria" w:hAnsi="Cambria"/>
                <w:color w:val="ED7D31" w:themeColor="accent2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– Public corporations must send out copies of financial statements </w:t>
            </w:r>
            <w:r w:rsidRPr="009C19A8">
              <w:rPr>
                <w:rFonts w:ascii="Cambria" w:hAnsi="Cambria"/>
                <w:color w:val="000000" w:themeColor="text1"/>
                <w:u w:val="single"/>
                <w:lang w:val="en-CA"/>
              </w:rPr>
              <w:t>only to shareholders who say they want one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, not less than </w:t>
            </w:r>
            <w:r w:rsidRPr="00FF2232">
              <w:rPr>
                <w:rFonts w:ascii="Cambria" w:hAnsi="Cambria"/>
                <w:color w:val="000000" w:themeColor="text1"/>
                <w:u w:val="single"/>
                <w:lang w:val="en-CA"/>
              </w:rPr>
              <w:t>21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days before annual meeting of shareholders (negative obligation)</w:t>
            </w:r>
          </w:p>
          <w:p w14:paraId="54C8F433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54894AF8" w14:textId="3C4D32DA" w:rsidR="00EA5E7C" w:rsidRPr="0052396E" w:rsidRDefault="00EA5E7C" w:rsidP="00EA5E7C">
            <w:pPr>
              <w:rPr>
                <w:rFonts w:ascii="Cambria" w:hAnsi="Cambria"/>
                <w:b/>
                <w:color w:val="ED7D31" w:themeColor="accent2"/>
                <w:lang w:val="en-CA"/>
              </w:rPr>
            </w:pPr>
            <w:r w:rsidRPr="00F84C28">
              <w:rPr>
                <w:rFonts w:ascii="Cambria" w:hAnsi="Cambria"/>
                <w:b/>
                <w:color w:val="ED7D31" w:themeColor="accent2"/>
                <w:lang w:val="en-CA"/>
              </w:rPr>
              <w:t xml:space="preserve">s. </w:t>
            </w:r>
            <w:r>
              <w:rPr>
                <w:rFonts w:ascii="Cambria" w:hAnsi="Cambria"/>
                <w:b/>
                <w:color w:val="ED7D31" w:themeColor="accent2"/>
                <w:lang w:val="en-CA"/>
              </w:rPr>
              <w:t>154(4)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– Private corporations must send out copies of financial statements to shareholders not less than </w:t>
            </w:r>
            <w:r w:rsidRPr="00FF2232">
              <w:rPr>
                <w:rFonts w:ascii="Cambria" w:hAnsi="Cambria"/>
                <w:color w:val="000000" w:themeColor="text1"/>
                <w:u w:val="single"/>
                <w:lang w:val="en-CA"/>
              </w:rPr>
              <w:t>10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days before annual meeting of shareholders </w:t>
            </w:r>
            <w:r>
              <w:rPr>
                <w:rFonts w:ascii="Cambria" w:hAnsi="Cambria"/>
                <w:color w:val="000000" w:themeColor="text1"/>
                <w:u w:val="single"/>
                <w:lang w:val="en-CA"/>
              </w:rPr>
              <w:t>except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to shareholders who have said they do not want one (positive obligation)</w:t>
            </w:r>
          </w:p>
        </w:tc>
      </w:tr>
      <w:tr w:rsidR="00EA5E7C" w14:paraId="2D00CEF7" w14:textId="77777777" w:rsidTr="001F4919">
        <w:trPr>
          <w:trHeight w:val="345"/>
        </w:trPr>
        <w:tc>
          <w:tcPr>
            <w:tcW w:w="2694" w:type="dxa"/>
          </w:tcPr>
          <w:p w14:paraId="0A784123" w14:textId="5DE53267" w:rsidR="00EA5E7C" w:rsidRPr="00FB628D" w:rsidRDefault="00EA5E7C" w:rsidP="00EA5E7C">
            <w:pPr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t>Statutory Response to Unequal Distribution of Voting Rights</w:t>
            </w:r>
          </w:p>
        </w:tc>
        <w:tc>
          <w:tcPr>
            <w:tcW w:w="5529" w:type="dxa"/>
          </w:tcPr>
          <w:p w14:paraId="3CCB7521" w14:textId="77777777" w:rsidR="00EA5E7C" w:rsidRPr="007637FD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 w:rsidRPr="00DD3906">
              <w:rPr>
                <w:rFonts w:ascii="Cambria" w:hAnsi="Cambria"/>
                <w:i/>
                <w:color w:val="000000" w:themeColor="text1"/>
                <w:lang w:val="en-CA"/>
              </w:rPr>
              <w:t>Mandatory Assignment of Voting Rights to Shares</w:t>
            </w:r>
            <w:r>
              <w:rPr>
                <w:rFonts w:ascii="Cambria" w:hAnsi="Cambria"/>
                <w:color w:val="000000" w:themeColor="text1"/>
                <w:lang w:val="en-CA"/>
              </w:rPr>
              <w:t>:</w:t>
            </w:r>
          </w:p>
          <w:p w14:paraId="6459596A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 w:rsidRPr="00AB5799">
              <w:rPr>
                <w:rFonts w:ascii="Cambria" w:hAnsi="Cambria"/>
                <w:b/>
                <w:color w:val="00B050"/>
                <w:lang w:val="en-CA"/>
              </w:rPr>
              <w:t xml:space="preserve">s. 183(3)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Re: Amalgamation </w:t>
            </w:r>
          </w:p>
          <w:p w14:paraId="52C81CF6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>s. 189(6)</w:t>
            </w:r>
            <w:r>
              <w:rPr>
                <w:rFonts w:ascii="Cambria" w:hAnsi="Cambria"/>
                <w:color w:val="00B050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Re: Sale of assets </w:t>
            </w:r>
          </w:p>
          <w:p w14:paraId="620BE0F5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>s. 188(4)</w:t>
            </w:r>
            <w:r>
              <w:rPr>
                <w:rFonts w:ascii="Cambria" w:hAnsi="Cambria"/>
                <w:color w:val="00B050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>Re: Switching jurisdictions</w:t>
            </w:r>
          </w:p>
          <w:p w14:paraId="7CC1FDCD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3932A9C5" w14:textId="77777777" w:rsidR="00EA5E7C" w:rsidRPr="00DD3906" w:rsidRDefault="00EA5E7C" w:rsidP="00EA5E7C">
            <w:pPr>
              <w:rPr>
                <w:rFonts w:ascii="Cambria" w:hAnsi="Cambria"/>
                <w:i/>
                <w:color w:val="000000" w:themeColor="text1"/>
                <w:lang w:val="en-CA"/>
              </w:rPr>
            </w:pPr>
            <w:r w:rsidRPr="00DD3906">
              <w:rPr>
                <w:rFonts w:ascii="Cambria" w:hAnsi="Cambria"/>
                <w:i/>
                <w:color w:val="000000" w:themeColor="text1"/>
                <w:lang w:val="en-CA"/>
              </w:rPr>
              <w:t xml:space="preserve">Fundamental Transactions to Be Approved Separately by Every Class of Shareholder, Whether or </w:t>
            </w:r>
            <w:r w:rsidRPr="00DD3906">
              <w:rPr>
                <w:rFonts w:ascii="Cambria" w:hAnsi="Cambria"/>
                <w:i/>
                <w:color w:val="000000" w:themeColor="text1"/>
                <w:lang w:val="en-CA"/>
              </w:rPr>
              <w:lastRenderedPageBreak/>
              <w:t>Not Those Shares Carry Voting Rights</w:t>
            </w:r>
          </w:p>
          <w:p w14:paraId="67A7ADA0" w14:textId="77777777" w:rsidR="00EA5E7C" w:rsidRPr="007637FD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 w:rsidRPr="007637FD">
              <w:rPr>
                <w:rFonts w:ascii="Cambria" w:hAnsi="Cambria"/>
                <w:b/>
                <w:color w:val="00B050"/>
                <w:lang w:val="en-CA"/>
              </w:rPr>
              <w:t xml:space="preserve">s. 183(4) </w:t>
            </w:r>
            <w:r>
              <w:rPr>
                <w:rFonts w:ascii="Cambria" w:hAnsi="Cambria"/>
                <w:color w:val="000000" w:themeColor="text1"/>
                <w:lang w:val="en-CA"/>
              </w:rPr>
              <w:t>Re: Amalgamation</w:t>
            </w:r>
          </w:p>
          <w:p w14:paraId="26BCC2C5" w14:textId="77777777" w:rsidR="00EA5E7C" w:rsidRPr="007637FD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 w:rsidRPr="007637FD">
              <w:rPr>
                <w:rFonts w:ascii="Cambria" w:hAnsi="Cambria"/>
                <w:b/>
                <w:color w:val="00B050"/>
                <w:lang w:val="en-CA"/>
              </w:rPr>
              <w:t>s. 189(7)</w:t>
            </w:r>
            <w:r w:rsidRPr="007637FD">
              <w:rPr>
                <w:rFonts w:ascii="Cambria" w:hAnsi="Cambria"/>
                <w:color w:val="00B050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>Re: Sale of assets</w:t>
            </w:r>
          </w:p>
          <w:p w14:paraId="42677F02" w14:textId="3288CBC5" w:rsidR="00EA5E7C" w:rsidRPr="0052396E" w:rsidRDefault="00EA5E7C" w:rsidP="00EA5E7C">
            <w:pPr>
              <w:rPr>
                <w:rFonts w:ascii="Cambria" w:hAnsi="Cambria"/>
                <w:b/>
                <w:color w:val="00B050"/>
                <w:lang w:val="en-CA"/>
              </w:rPr>
            </w:pPr>
            <w:r w:rsidRPr="007637FD">
              <w:rPr>
                <w:rFonts w:ascii="Cambria" w:hAnsi="Cambria"/>
                <w:b/>
                <w:color w:val="00B050"/>
                <w:lang w:val="en-CA"/>
              </w:rPr>
              <w:t>s. 176</w:t>
            </w:r>
            <w:r w:rsidRPr="007637FD">
              <w:rPr>
                <w:rFonts w:ascii="Cambria" w:hAnsi="Cambria"/>
                <w:color w:val="00B050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>Re: Amendments of articles of incorporation</w:t>
            </w:r>
          </w:p>
        </w:tc>
        <w:tc>
          <w:tcPr>
            <w:tcW w:w="5670" w:type="dxa"/>
          </w:tcPr>
          <w:p w14:paraId="44FE13FE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color w:val="000000" w:themeColor="text1"/>
                <w:lang w:val="en-CA"/>
              </w:rPr>
              <w:lastRenderedPageBreak/>
              <w:t>DOES NOT PROVIDE FOR MANDATORY ASSIGNMENT OF VOTING RIGHTS TO SHARES</w:t>
            </w:r>
          </w:p>
          <w:p w14:paraId="6251BF6D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7529B5BA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5C2D8772" w14:textId="77777777" w:rsidR="00EA5E7C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</w:p>
          <w:p w14:paraId="59B20963" w14:textId="77777777" w:rsidR="00EA5E7C" w:rsidRPr="00DD3906" w:rsidRDefault="00EA5E7C" w:rsidP="00EA5E7C">
            <w:pPr>
              <w:rPr>
                <w:rFonts w:ascii="Cambria" w:hAnsi="Cambria"/>
                <w:i/>
                <w:color w:val="000000" w:themeColor="text1"/>
                <w:lang w:val="en-CA"/>
              </w:rPr>
            </w:pPr>
            <w:r w:rsidRPr="00DD3906">
              <w:rPr>
                <w:rFonts w:ascii="Cambria" w:hAnsi="Cambria"/>
                <w:i/>
                <w:color w:val="000000" w:themeColor="text1"/>
                <w:lang w:val="en-CA"/>
              </w:rPr>
              <w:t xml:space="preserve">Fundamental Transactions to Be Approved Separately by Every Class of Shareholder, Whether or Not Those </w:t>
            </w:r>
            <w:r w:rsidRPr="00DD3906">
              <w:rPr>
                <w:rFonts w:ascii="Cambria" w:hAnsi="Cambria"/>
                <w:i/>
                <w:color w:val="000000" w:themeColor="text1"/>
                <w:lang w:val="en-CA"/>
              </w:rPr>
              <w:lastRenderedPageBreak/>
              <w:t>Shares Carry Voting Rights</w:t>
            </w:r>
          </w:p>
          <w:p w14:paraId="1E1F072A" w14:textId="77777777" w:rsidR="00EA5E7C" w:rsidRPr="00FE6850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>s. 170</w:t>
            </w:r>
            <w:r>
              <w:rPr>
                <w:rFonts w:ascii="Cambria" w:hAnsi="Cambria"/>
                <w:color w:val="000000" w:themeColor="text1"/>
                <w:lang w:val="en-CA"/>
              </w:rPr>
              <w:t xml:space="preserve"> Re: Amendment of articles of incorporation</w:t>
            </w:r>
          </w:p>
          <w:p w14:paraId="276294D3" w14:textId="77777777" w:rsidR="00EA5E7C" w:rsidRPr="00FE6850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 xml:space="preserve">s. 176(3) </w:t>
            </w:r>
            <w:r>
              <w:rPr>
                <w:rFonts w:ascii="Cambria" w:hAnsi="Cambria"/>
                <w:color w:val="000000" w:themeColor="text1"/>
                <w:lang w:val="en-CA"/>
              </w:rPr>
              <w:t>Re: Amalgamation</w:t>
            </w:r>
          </w:p>
          <w:p w14:paraId="17803869" w14:textId="0BF42FD5" w:rsidR="00EA5E7C" w:rsidRPr="0052396E" w:rsidRDefault="00EA5E7C" w:rsidP="00EA5E7C">
            <w:pPr>
              <w:rPr>
                <w:rFonts w:ascii="Cambria" w:hAnsi="Cambria"/>
                <w:b/>
                <w:color w:val="ED7D31" w:themeColor="accent2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 xml:space="preserve">s. 184(6) </w:t>
            </w:r>
            <w:r>
              <w:rPr>
                <w:rFonts w:ascii="Cambria" w:hAnsi="Cambria"/>
                <w:color w:val="000000" w:themeColor="text1"/>
                <w:lang w:val="en-CA"/>
              </w:rPr>
              <w:t>Re: Sale of assets</w:t>
            </w:r>
          </w:p>
        </w:tc>
      </w:tr>
      <w:tr w:rsidR="00EA5E7C" w14:paraId="4BB2DD5E" w14:textId="77777777" w:rsidTr="001F4919">
        <w:trPr>
          <w:trHeight w:val="345"/>
        </w:trPr>
        <w:tc>
          <w:tcPr>
            <w:tcW w:w="2694" w:type="dxa"/>
          </w:tcPr>
          <w:p w14:paraId="34AC32B7" w14:textId="4E5D0535" w:rsidR="00EA5E7C" w:rsidRPr="00FB628D" w:rsidRDefault="00EA5E7C" w:rsidP="00EA5E7C">
            <w:pPr>
              <w:rPr>
                <w:rFonts w:ascii="Cambria" w:hAnsi="Cambria"/>
                <w:b/>
                <w:lang w:val="en-CA"/>
              </w:rPr>
            </w:pPr>
            <w:r w:rsidRPr="00FB628D">
              <w:rPr>
                <w:rFonts w:ascii="Cambria" w:hAnsi="Cambria"/>
                <w:b/>
                <w:lang w:val="en-CA"/>
              </w:rPr>
              <w:lastRenderedPageBreak/>
              <w:t>Derivate Action</w:t>
            </w:r>
          </w:p>
        </w:tc>
        <w:tc>
          <w:tcPr>
            <w:tcW w:w="5529" w:type="dxa"/>
          </w:tcPr>
          <w:p w14:paraId="4D22703E" w14:textId="619DB232" w:rsidR="00EA5E7C" w:rsidRPr="0052396E" w:rsidRDefault="00EA5E7C" w:rsidP="00EA5E7C">
            <w:pPr>
              <w:rPr>
                <w:rFonts w:ascii="Cambria" w:hAnsi="Cambria"/>
                <w:b/>
                <w:color w:val="00B050"/>
                <w:lang w:val="en-CA"/>
              </w:rPr>
            </w:pPr>
            <w:r>
              <w:rPr>
                <w:rFonts w:ascii="Cambria" w:hAnsi="Cambria"/>
                <w:b/>
                <w:color w:val="00B050"/>
                <w:lang w:val="en-CA"/>
              </w:rPr>
              <w:t>s. 239(1)</w:t>
            </w:r>
            <w:r>
              <w:rPr>
                <w:rFonts w:ascii="Cambria" w:hAnsi="Cambria"/>
                <w:color w:val="00B050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>– complainant must give 14 days’ notice to directors in all circumstances</w:t>
            </w:r>
          </w:p>
        </w:tc>
        <w:tc>
          <w:tcPr>
            <w:tcW w:w="5670" w:type="dxa"/>
          </w:tcPr>
          <w:p w14:paraId="3D38EB97" w14:textId="79CA103C" w:rsidR="00EA5E7C" w:rsidRPr="0052396E" w:rsidRDefault="00EA5E7C" w:rsidP="00EA5E7C">
            <w:pPr>
              <w:rPr>
                <w:rFonts w:ascii="Cambria" w:hAnsi="Cambria"/>
                <w:b/>
                <w:color w:val="ED7D31" w:themeColor="accent2"/>
                <w:lang w:val="en-CA"/>
              </w:rPr>
            </w:pPr>
            <w:r>
              <w:rPr>
                <w:rFonts w:ascii="Cambria" w:hAnsi="Cambria"/>
                <w:b/>
                <w:color w:val="ED7D31" w:themeColor="accent2"/>
                <w:lang w:val="en-CA"/>
              </w:rPr>
              <w:t>s. 246(2.1)</w:t>
            </w:r>
            <w:r>
              <w:rPr>
                <w:rFonts w:ascii="Cambria" w:hAnsi="Cambria"/>
                <w:color w:val="ED7D31" w:themeColor="accent2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>– complainant not required to give the 14 days’ notice in 246(2) if all directors are defendants in the action</w:t>
            </w:r>
          </w:p>
        </w:tc>
      </w:tr>
      <w:tr w:rsidR="00EA5E7C" w14:paraId="26626D55" w14:textId="77777777" w:rsidTr="001F4919">
        <w:trPr>
          <w:trHeight w:val="345"/>
        </w:trPr>
        <w:tc>
          <w:tcPr>
            <w:tcW w:w="2694" w:type="dxa"/>
          </w:tcPr>
          <w:p w14:paraId="004D0C66" w14:textId="73F850A0" w:rsidR="00EA5E7C" w:rsidRPr="00FB628D" w:rsidRDefault="00EA5E7C" w:rsidP="00EA5E7C">
            <w:pPr>
              <w:rPr>
                <w:rFonts w:ascii="Cambria" w:hAnsi="Cambria"/>
                <w:b/>
                <w:lang w:val="en-CA"/>
              </w:rPr>
            </w:pPr>
            <w:r w:rsidRPr="00FB628D">
              <w:rPr>
                <w:rFonts w:ascii="Cambria" w:hAnsi="Cambria"/>
                <w:b/>
                <w:lang w:val="en-CA"/>
              </w:rPr>
              <w:t>Oppression Remedy</w:t>
            </w:r>
          </w:p>
        </w:tc>
        <w:tc>
          <w:tcPr>
            <w:tcW w:w="5529" w:type="dxa"/>
          </w:tcPr>
          <w:p w14:paraId="23EAD030" w14:textId="12A35A56" w:rsidR="00EA5E7C" w:rsidRPr="0052396E" w:rsidRDefault="00EA5E7C" w:rsidP="00EA5E7C">
            <w:pPr>
              <w:rPr>
                <w:rFonts w:ascii="Cambria" w:hAnsi="Cambria"/>
                <w:color w:val="000000" w:themeColor="text1"/>
                <w:lang w:val="en-CA"/>
              </w:rPr>
            </w:pPr>
            <w:r w:rsidRPr="0052396E">
              <w:rPr>
                <w:rFonts w:ascii="Cambria" w:hAnsi="Cambria"/>
                <w:b/>
                <w:color w:val="00B050"/>
                <w:lang w:val="en-CA"/>
              </w:rPr>
              <w:t>s. 241</w:t>
            </w:r>
            <w:r>
              <w:rPr>
                <w:rFonts w:ascii="Cambria" w:hAnsi="Cambria"/>
                <w:color w:val="00B050"/>
                <w:lang w:val="en-CA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lang w:val="en-CA"/>
              </w:rPr>
              <w:t>– complainant can seek relief only for actual actions of the company</w:t>
            </w:r>
          </w:p>
        </w:tc>
        <w:tc>
          <w:tcPr>
            <w:tcW w:w="5670" w:type="dxa"/>
          </w:tcPr>
          <w:p w14:paraId="0241839A" w14:textId="1FCD42A7" w:rsidR="00EA5E7C" w:rsidRPr="0052396E" w:rsidRDefault="00EA5E7C" w:rsidP="00EA5E7C">
            <w:pPr>
              <w:rPr>
                <w:rFonts w:ascii="Cambria" w:hAnsi="Cambria"/>
                <w:lang w:val="en-CA"/>
              </w:rPr>
            </w:pPr>
            <w:r w:rsidRPr="0052396E">
              <w:rPr>
                <w:rFonts w:ascii="Cambria" w:hAnsi="Cambria"/>
                <w:b/>
                <w:color w:val="ED7D31" w:themeColor="accent2"/>
                <w:lang w:val="en-CA"/>
              </w:rPr>
              <w:t>s. 248</w:t>
            </w:r>
            <w:r w:rsidRPr="0052396E">
              <w:rPr>
                <w:rFonts w:ascii="Cambria" w:hAnsi="Cambria"/>
                <w:color w:val="ED7D31" w:themeColor="accent2"/>
                <w:lang w:val="en-CA"/>
              </w:rPr>
              <w:t xml:space="preserve"> </w:t>
            </w:r>
            <w:r>
              <w:rPr>
                <w:rFonts w:ascii="Cambria" w:hAnsi="Cambria"/>
                <w:lang w:val="en-CA"/>
              </w:rPr>
              <w:t xml:space="preserve">– complainant can seek relief for both actions </w:t>
            </w:r>
            <w:r w:rsidRPr="00C86051">
              <w:rPr>
                <w:rFonts w:ascii="Cambria" w:hAnsi="Cambria"/>
                <w:b/>
                <w:lang w:val="en-CA"/>
              </w:rPr>
              <w:t>and threatened</w:t>
            </w:r>
            <w:r>
              <w:rPr>
                <w:rFonts w:ascii="Cambria" w:hAnsi="Cambria"/>
                <w:lang w:val="en-CA"/>
              </w:rPr>
              <w:t xml:space="preserve"> actions of the company</w:t>
            </w:r>
          </w:p>
        </w:tc>
      </w:tr>
    </w:tbl>
    <w:p w14:paraId="0235D4DE" w14:textId="77777777" w:rsidR="00E008E9" w:rsidRDefault="00E008E9" w:rsidP="00EA5E7C">
      <w:pPr>
        <w:rPr>
          <w:rFonts w:ascii="Cambria" w:hAnsi="Cambria"/>
          <w:b/>
          <w:lang w:val="en-CA"/>
        </w:rPr>
      </w:pPr>
    </w:p>
    <w:p w14:paraId="211F2DE4" w14:textId="77777777" w:rsidR="00D0066D" w:rsidRPr="00D0066D" w:rsidRDefault="00D0066D" w:rsidP="00EA5E7C">
      <w:pPr>
        <w:rPr>
          <w:rFonts w:ascii="Cambria" w:hAnsi="Cambria"/>
          <w:lang w:val="en-CA"/>
        </w:rPr>
      </w:pPr>
    </w:p>
    <w:sectPr w:rsidR="00D0066D" w:rsidRPr="00D0066D" w:rsidSect="001F491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E5D"/>
    <w:multiLevelType w:val="hybridMultilevel"/>
    <w:tmpl w:val="7260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019CF"/>
    <w:multiLevelType w:val="hybridMultilevel"/>
    <w:tmpl w:val="3434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036CD"/>
    <w:multiLevelType w:val="hybridMultilevel"/>
    <w:tmpl w:val="458A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57CA72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3" w:tplc="57CA72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 w:tplc="A23C7BB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6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9488A"/>
    <w:multiLevelType w:val="hybridMultilevel"/>
    <w:tmpl w:val="1D90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83AD3"/>
    <w:multiLevelType w:val="hybridMultilevel"/>
    <w:tmpl w:val="FE76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000000" w:themeColor="text1"/>
      </w:rPr>
    </w:lvl>
    <w:lvl w:ilvl="3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E9"/>
    <w:rsid w:val="000060D2"/>
    <w:rsid w:val="00016F55"/>
    <w:rsid w:val="00023B22"/>
    <w:rsid w:val="000313E6"/>
    <w:rsid w:val="00054B51"/>
    <w:rsid w:val="000D60CA"/>
    <w:rsid w:val="000E11A4"/>
    <w:rsid w:val="000E12DD"/>
    <w:rsid w:val="001170BB"/>
    <w:rsid w:val="00121767"/>
    <w:rsid w:val="00124C91"/>
    <w:rsid w:val="00143F41"/>
    <w:rsid w:val="00166D73"/>
    <w:rsid w:val="00180308"/>
    <w:rsid w:val="00194165"/>
    <w:rsid w:val="001D64CE"/>
    <w:rsid w:val="001F4919"/>
    <w:rsid w:val="00211CC3"/>
    <w:rsid w:val="00220388"/>
    <w:rsid w:val="00236B62"/>
    <w:rsid w:val="00240CC5"/>
    <w:rsid w:val="00247E71"/>
    <w:rsid w:val="00252CB2"/>
    <w:rsid w:val="002844FC"/>
    <w:rsid w:val="00285921"/>
    <w:rsid w:val="00287416"/>
    <w:rsid w:val="002B4385"/>
    <w:rsid w:val="002C2262"/>
    <w:rsid w:val="002C550F"/>
    <w:rsid w:val="00320837"/>
    <w:rsid w:val="00396709"/>
    <w:rsid w:val="003B1951"/>
    <w:rsid w:val="003F1162"/>
    <w:rsid w:val="0040275F"/>
    <w:rsid w:val="00406EE9"/>
    <w:rsid w:val="00425485"/>
    <w:rsid w:val="00470D38"/>
    <w:rsid w:val="00472A56"/>
    <w:rsid w:val="00483404"/>
    <w:rsid w:val="00493477"/>
    <w:rsid w:val="004B2DDD"/>
    <w:rsid w:val="004B2E17"/>
    <w:rsid w:val="004B7572"/>
    <w:rsid w:val="004C0370"/>
    <w:rsid w:val="004F5BF2"/>
    <w:rsid w:val="00512300"/>
    <w:rsid w:val="0052396E"/>
    <w:rsid w:val="00556642"/>
    <w:rsid w:val="00573B2B"/>
    <w:rsid w:val="005922EF"/>
    <w:rsid w:val="005A22E2"/>
    <w:rsid w:val="005B77DD"/>
    <w:rsid w:val="005C32EA"/>
    <w:rsid w:val="005D6F4C"/>
    <w:rsid w:val="005F75E7"/>
    <w:rsid w:val="006130BF"/>
    <w:rsid w:val="00615D7D"/>
    <w:rsid w:val="00660C13"/>
    <w:rsid w:val="0067012A"/>
    <w:rsid w:val="006769D2"/>
    <w:rsid w:val="00680A8B"/>
    <w:rsid w:val="00683C25"/>
    <w:rsid w:val="006C47C8"/>
    <w:rsid w:val="006F427D"/>
    <w:rsid w:val="00703AA4"/>
    <w:rsid w:val="007312DC"/>
    <w:rsid w:val="00734B49"/>
    <w:rsid w:val="007527A8"/>
    <w:rsid w:val="007606D8"/>
    <w:rsid w:val="007637FD"/>
    <w:rsid w:val="007871A0"/>
    <w:rsid w:val="007D7FA7"/>
    <w:rsid w:val="007F3DDB"/>
    <w:rsid w:val="00822288"/>
    <w:rsid w:val="00826618"/>
    <w:rsid w:val="008660B4"/>
    <w:rsid w:val="00884CF3"/>
    <w:rsid w:val="008C0AC2"/>
    <w:rsid w:val="008C7D9B"/>
    <w:rsid w:val="008D374F"/>
    <w:rsid w:val="008F0A15"/>
    <w:rsid w:val="009079A5"/>
    <w:rsid w:val="00995BB7"/>
    <w:rsid w:val="009B6D3A"/>
    <w:rsid w:val="009C19A8"/>
    <w:rsid w:val="009C7400"/>
    <w:rsid w:val="009D5CE0"/>
    <w:rsid w:val="009E22BA"/>
    <w:rsid w:val="009E4DFB"/>
    <w:rsid w:val="009E6C6D"/>
    <w:rsid w:val="00A00596"/>
    <w:rsid w:val="00A42940"/>
    <w:rsid w:val="00A5165D"/>
    <w:rsid w:val="00A60221"/>
    <w:rsid w:val="00AB5799"/>
    <w:rsid w:val="00AD1485"/>
    <w:rsid w:val="00AD585D"/>
    <w:rsid w:val="00B1356C"/>
    <w:rsid w:val="00B3004A"/>
    <w:rsid w:val="00B466AB"/>
    <w:rsid w:val="00B519B3"/>
    <w:rsid w:val="00B72022"/>
    <w:rsid w:val="00B80ACB"/>
    <w:rsid w:val="00B9038C"/>
    <w:rsid w:val="00B93366"/>
    <w:rsid w:val="00B950DA"/>
    <w:rsid w:val="00BA0321"/>
    <w:rsid w:val="00BC1125"/>
    <w:rsid w:val="00C01A28"/>
    <w:rsid w:val="00C42F0D"/>
    <w:rsid w:val="00C56589"/>
    <w:rsid w:val="00C60FB5"/>
    <w:rsid w:val="00C646CC"/>
    <w:rsid w:val="00C67871"/>
    <w:rsid w:val="00C71BEF"/>
    <w:rsid w:val="00C86051"/>
    <w:rsid w:val="00CE158E"/>
    <w:rsid w:val="00CF22A5"/>
    <w:rsid w:val="00D0066D"/>
    <w:rsid w:val="00D444A3"/>
    <w:rsid w:val="00D7747C"/>
    <w:rsid w:val="00D969F8"/>
    <w:rsid w:val="00DB34B0"/>
    <w:rsid w:val="00DD3906"/>
    <w:rsid w:val="00E008E9"/>
    <w:rsid w:val="00E06787"/>
    <w:rsid w:val="00E329F3"/>
    <w:rsid w:val="00E339AD"/>
    <w:rsid w:val="00E40283"/>
    <w:rsid w:val="00E45DFE"/>
    <w:rsid w:val="00E52B89"/>
    <w:rsid w:val="00E91587"/>
    <w:rsid w:val="00E93B1A"/>
    <w:rsid w:val="00EA4011"/>
    <w:rsid w:val="00EA5E7C"/>
    <w:rsid w:val="00F24C2F"/>
    <w:rsid w:val="00F47732"/>
    <w:rsid w:val="00F60ED9"/>
    <w:rsid w:val="00F84C28"/>
    <w:rsid w:val="00F85FB6"/>
    <w:rsid w:val="00FA1BE4"/>
    <w:rsid w:val="00FA602A"/>
    <w:rsid w:val="00FB251C"/>
    <w:rsid w:val="00FB628D"/>
    <w:rsid w:val="00FC4675"/>
    <w:rsid w:val="00FE6850"/>
    <w:rsid w:val="00FF2232"/>
    <w:rsid w:val="00FF33FE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95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1396</Words>
  <Characters>7961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Aaron Rosenbaum</dc:creator>
  <cp:keywords/>
  <dc:description/>
  <cp:lastModifiedBy>Brooklyn Hallam</cp:lastModifiedBy>
  <cp:revision>5</cp:revision>
  <dcterms:created xsi:type="dcterms:W3CDTF">2019-04-08T14:22:00Z</dcterms:created>
  <dcterms:modified xsi:type="dcterms:W3CDTF">2019-04-14T23:13:00Z</dcterms:modified>
</cp:coreProperties>
</file>